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271B7" w:rsidRDefault="00E271B7" w:rsidP="00E271B7">
      <w:pPr>
        <w:spacing w:after="20" w:line="240" w:lineRule="auto"/>
        <w:jc w:val="right"/>
        <w:rPr>
          <w:b/>
        </w:rPr>
      </w:pPr>
    </w:p>
    <w:p w:rsidR="00842806" w:rsidRDefault="00E271B7" w:rsidP="00E271B7">
      <w:pPr>
        <w:spacing w:after="20" w:line="240" w:lineRule="auto"/>
        <w:jc w:val="right"/>
        <w:rPr>
          <w:b/>
        </w:rPr>
      </w:pPr>
      <w:r>
        <w:rPr>
          <w:b/>
        </w:rPr>
        <w:t xml:space="preserve">Załącznik nr </w:t>
      </w:r>
      <w:r w:rsidR="00900D75">
        <w:rPr>
          <w:b/>
        </w:rPr>
        <w:t>1.2</w:t>
      </w:r>
    </w:p>
    <w:p w:rsidR="00E271B7" w:rsidRPr="00E271B7" w:rsidRDefault="00E271B7" w:rsidP="00E271B7">
      <w:pPr>
        <w:spacing w:after="20" w:line="240" w:lineRule="auto"/>
        <w:jc w:val="right"/>
        <w:rPr>
          <w:b/>
        </w:rPr>
      </w:pPr>
      <w:r>
        <w:rPr>
          <w:b/>
        </w:rPr>
        <w:t>Do Regulaminu konkursu</w:t>
      </w:r>
    </w:p>
    <w:p w:rsidR="00907C88" w:rsidRDefault="00907C88" w:rsidP="00842806">
      <w:pPr>
        <w:spacing w:after="20" w:line="240" w:lineRule="auto"/>
        <w:ind w:left="284"/>
        <w:jc w:val="center"/>
        <w:rPr>
          <w:b/>
          <w:sz w:val="28"/>
          <w:szCs w:val="28"/>
        </w:rPr>
      </w:pPr>
    </w:p>
    <w:p w:rsidR="00907C88" w:rsidRDefault="00907C88" w:rsidP="00842806">
      <w:pPr>
        <w:spacing w:after="20" w:line="240" w:lineRule="auto"/>
        <w:ind w:left="284"/>
        <w:jc w:val="center"/>
        <w:rPr>
          <w:b/>
          <w:sz w:val="28"/>
          <w:szCs w:val="28"/>
        </w:rPr>
      </w:pPr>
    </w:p>
    <w:p w:rsidR="00907C88" w:rsidRDefault="00907C88" w:rsidP="00842806">
      <w:pPr>
        <w:spacing w:after="20" w:line="240" w:lineRule="auto"/>
        <w:ind w:left="284"/>
        <w:jc w:val="center"/>
        <w:rPr>
          <w:b/>
          <w:sz w:val="28"/>
          <w:szCs w:val="28"/>
        </w:rPr>
      </w:pPr>
    </w:p>
    <w:p w:rsidR="00215D69" w:rsidRPr="00FF3DFF" w:rsidRDefault="006D7E20" w:rsidP="00FF3DFF">
      <w:pPr>
        <w:spacing w:after="20" w:line="240" w:lineRule="auto"/>
        <w:ind w:left="284"/>
        <w:jc w:val="both"/>
        <w:rPr>
          <w:b/>
        </w:rPr>
      </w:pPr>
      <w:r>
        <w:rPr>
          <w:b/>
        </w:rPr>
        <w:t xml:space="preserve">UWARUNKOWANIA LOKALNE DLA </w:t>
      </w:r>
      <w:r w:rsidR="008C0456">
        <w:rPr>
          <w:b/>
        </w:rPr>
        <w:t xml:space="preserve"> KONCEPCJI </w:t>
      </w:r>
      <w:r w:rsidR="00FF3DFF" w:rsidRPr="00FF3DFF">
        <w:rPr>
          <w:b/>
        </w:rPr>
        <w:t xml:space="preserve"> BUDYNKU</w:t>
      </w:r>
      <w:r w:rsidR="00F72DDA">
        <w:rPr>
          <w:b/>
        </w:rPr>
        <w:t xml:space="preserve"> </w:t>
      </w:r>
      <w:r w:rsidR="00FF3DFF" w:rsidRPr="00FF3DFF">
        <w:rPr>
          <w:b/>
        </w:rPr>
        <w:t xml:space="preserve">WIELOFUNKCYJNEGO Z FUNKCJĄ HALI WIDOWISKOWO SPORTOWEJ   ORAZ CENTRUM KONGRESOWEGO, zlokalizowanego na terenie Centrum Sportu Akademickiego Politechniki Gdańskiej przy Alei Zwycięstwa 12, w Gdańsku </w:t>
      </w:r>
    </w:p>
    <w:p w:rsidR="005B4F23" w:rsidRPr="00D872E0" w:rsidRDefault="005B4F23" w:rsidP="00D872E0">
      <w:pPr>
        <w:rPr>
          <w:b/>
        </w:rPr>
      </w:pPr>
    </w:p>
    <w:p w:rsidR="000F7156" w:rsidRDefault="000F7156" w:rsidP="000F7156">
      <w:pPr>
        <w:pStyle w:val="Akapitzlist"/>
        <w:numPr>
          <w:ilvl w:val="0"/>
          <w:numId w:val="3"/>
        </w:numPr>
        <w:ind w:left="426" w:hanging="426"/>
        <w:rPr>
          <w:b/>
        </w:rPr>
      </w:pPr>
      <w:r>
        <w:rPr>
          <w:b/>
        </w:rPr>
        <w:t>KONTEKST URBANISTYCZNY</w:t>
      </w:r>
    </w:p>
    <w:p w:rsidR="006E34C0" w:rsidRDefault="000F7156" w:rsidP="002058B5">
      <w:pPr>
        <w:pStyle w:val="Akapitzlist"/>
        <w:ind w:left="426" w:firstLine="282"/>
        <w:jc w:val="both"/>
      </w:pPr>
      <w:r>
        <w:t xml:space="preserve">W opracowaniu konkursowym należy uwzględnić uwarunkowania wynikające z istniejącego, oraz planowanego zainwestowania, </w:t>
      </w:r>
      <w:r w:rsidR="00D44150">
        <w:t>w obrębie</w:t>
      </w:r>
      <w:r>
        <w:t xml:space="preserve"> najbliższego  sąsiedztwie terenu objętego zakresem opracowania.  </w:t>
      </w:r>
      <w:r w:rsidR="00D44150">
        <w:t xml:space="preserve">Przedmiotowy teren zlokalizowany jest w </w:t>
      </w:r>
      <w:r w:rsidR="00D44150" w:rsidRPr="00900D75">
        <w:t xml:space="preserve">obrębie </w:t>
      </w:r>
      <w:r w:rsidR="00900D75" w:rsidRPr="00900D75">
        <w:t>Centralnego</w:t>
      </w:r>
      <w:r w:rsidR="00D44150" w:rsidRPr="00900D75">
        <w:t xml:space="preserve"> pasma usługowego</w:t>
      </w:r>
      <w:r w:rsidR="00D44150">
        <w:t xml:space="preserve"> </w:t>
      </w:r>
      <w:r w:rsidR="00900D75">
        <w:t>którego granice wyznacza plansza nr 2 Kierunki Zagospodarowania Przestrzennego będąca załącznikiem do STUDIUM UWARUNKOWAŃ I KIERUNKÓW ZAGOSPODAROWANIA PRZESTRZENNEGO MIASTA GDAŃSKA uchwalonego w 2018 r. Zgodnie z zapisami STUDIUM wzdłuż al. Zwycię</w:t>
      </w:r>
      <w:r w:rsidR="006E34C0">
        <w:t>s</w:t>
      </w:r>
      <w:r w:rsidR="00900D75">
        <w:t xml:space="preserve">twa stanowiącej główną arterię </w:t>
      </w:r>
      <w:r w:rsidR="006E34C0">
        <w:t>Trójmiasta lokalizowane są obiekty administracyjne i handlowe oraz kulturalne.</w:t>
      </w:r>
    </w:p>
    <w:p w:rsidR="000F7156" w:rsidRDefault="006E34C0" w:rsidP="002058B5">
      <w:pPr>
        <w:pStyle w:val="Akapitzlist"/>
        <w:ind w:left="426" w:firstLine="282"/>
        <w:jc w:val="both"/>
      </w:pPr>
      <w:r>
        <w:t>W bezpośrednim sąsiedztwie przedmiotowego terenu zlokalizowana jest siedziba Opery Bałtyckiej, a tuż obok</w:t>
      </w:r>
      <w:r w:rsidR="00EA3FBF">
        <w:t xml:space="preserve"> budynek sieciowego multipleksu, oraz budynek </w:t>
      </w:r>
      <w:r w:rsidR="00907C88">
        <w:t xml:space="preserve">usługowo - </w:t>
      </w:r>
      <w:r w:rsidR="00EA3FBF">
        <w:t xml:space="preserve">biurowy. </w:t>
      </w:r>
      <w:r>
        <w:t xml:space="preserve"> </w:t>
      </w:r>
      <w:r w:rsidR="002058B5">
        <w:br/>
      </w:r>
      <w:r>
        <w:t>W niedalekiej przyszłości w sąsiedztwie CSA powstanie kompleks zabudowy mieszczący część biurową oraz komercyjny akademik.</w:t>
      </w:r>
    </w:p>
    <w:p w:rsidR="006E34C0" w:rsidRPr="000F7156" w:rsidRDefault="006E34C0" w:rsidP="000F7156">
      <w:pPr>
        <w:pStyle w:val="Akapitzlist"/>
        <w:ind w:left="426"/>
        <w:jc w:val="both"/>
      </w:pPr>
    </w:p>
    <w:p w:rsidR="006D7E20" w:rsidRDefault="00777C4D" w:rsidP="00777C4D">
      <w:pPr>
        <w:pStyle w:val="Akapitzlist"/>
        <w:numPr>
          <w:ilvl w:val="0"/>
          <w:numId w:val="3"/>
        </w:numPr>
        <w:ind w:left="426" w:hanging="426"/>
        <w:rPr>
          <w:b/>
        </w:rPr>
      </w:pPr>
      <w:r>
        <w:rPr>
          <w:b/>
        </w:rPr>
        <w:t>UWARUNKOWANIA WYNIKAJĄCE Z ZAPISÓW PLANU MIEJSCOWEGO</w:t>
      </w:r>
    </w:p>
    <w:p w:rsidR="00370C20" w:rsidRDefault="00B456E6" w:rsidP="001B3AA0">
      <w:pPr>
        <w:pStyle w:val="Akapitzlist"/>
        <w:ind w:left="426" w:firstLine="282"/>
        <w:jc w:val="both"/>
      </w:pPr>
      <w:r>
        <w:t>Na przedmiotowym terenie obowiązują zapisy</w:t>
      </w:r>
      <w:r w:rsidR="00370C20">
        <w:t xml:space="preserve"> </w:t>
      </w:r>
      <w:r w:rsidR="00370C20" w:rsidRPr="00370C20">
        <w:t>UCHWAŁA NR XXIV/689/08</w:t>
      </w:r>
      <w:r>
        <w:t xml:space="preserve"> </w:t>
      </w:r>
      <w:r w:rsidR="00370C20" w:rsidRPr="00370C20">
        <w:t>RADY MIASTA GDAŃSKA</w:t>
      </w:r>
      <w:r>
        <w:t xml:space="preserve"> </w:t>
      </w:r>
      <w:r w:rsidR="00370C20" w:rsidRPr="00370C20">
        <w:t>z dnia 26 czerwca 2008 roku</w:t>
      </w:r>
      <w:r>
        <w:t xml:space="preserve"> </w:t>
      </w:r>
      <w:r w:rsidR="00370C20" w:rsidRPr="00370C20">
        <w:t>w sprawie uchwalenia miejscowego planu zagospodarowania przestrzennego Wrzeszcz rejon Alei Zwycięstwa i ulicy Towarowej w mieście Gdańsku</w:t>
      </w:r>
      <w:r>
        <w:t>.</w:t>
      </w:r>
      <w:r w:rsidR="00064251">
        <w:t xml:space="preserve"> </w:t>
      </w:r>
      <w:r w:rsidR="00064251" w:rsidRPr="00064251">
        <w:t xml:space="preserve">W planie dla przedmiotowego terenu określono strefę planistyczną nr 002 – U33 (teren zabudowy usługowej – usługi sportu, rekreacji, rozrywki, edukacji, nauki). Tekst uchwały oraz karta terenu 002 stanowią załącznik </w:t>
      </w:r>
      <w:r w:rsidR="00064251" w:rsidRPr="002058B5">
        <w:t xml:space="preserve">nr </w:t>
      </w:r>
      <w:r w:rsidR="002058B5" w:rsidRPr="002058B5">
        <w:t>1.7</w:t>
      </w:r>
      <w:r w:rsidR="00064251" w:rsidRPr="002058B5">
        <w:t xml:space="preserve"> do</w:t>
      </w:r>
      <w:r w:rsidR="00064251" w:rsidRPr="00064251">
        <w:t xml:space="preserve"> regulaminu konkursu</w:t>
      </w:r>
      <w:r w:rsidR="00907C88">
        <w:t>.</w:t>
      </w:r>
    </w:p>
    <w:p w:rsidR="00907C88" w:rsidRDefault="00B456E6" w:rsidP="002058B5">
      <w:pPr>
        <w:pStyle w:val="Akapitzlist"/>
        <w:ind w:left="426" w:firstLine="282"/>
        <w:jc w:val="both"/>
      </w:pPr>
      <w:r>
        <w:t>Plan miejscowy określa podstawowe parametry zabudowy, zasady obsługi komunikacyjnej oraz zaopatrzenia w media, zasady kształtowania planowanej zabudowy w kontekście uwarunkowań środowiskowych oraz historycznych</w:t>
      </w:r>
      <w:r w:rsidR="002058B5">
        <w:t>,</w:t>
      </w:r>
      <w:r>
        <w:t xml:space="preserve"> a także formułuje zalecenia nie będące podstawą wydania decyzji.</w:t>
      </w:r>
    </w:p>
    <w:p w:rsidR="00064251" w:rsidRDefault="00064251" w:rsidP="00907C88">
      <w:pPr>
        <w:pStyle w:val="Akapitzlist"/>
        <w:ind w:left="426" w:firstLine="282"/>
        <w:jc w:val="both"/>
      </w:pPr>
      <w:r>
        <w:t>W związku z planowaną inwestycją nie planuje się wydzielenia geodezyjnego terenu stanowiącego zakres opracowania</w:t>
      </w:r>
      <w:r w:rsidR="00907C88">
        <w:t xml:space="preserve">. </w:t>
      </w:r>
      <w:r w:rsidR="002058B5">
        <w:t>P</w:t>
      </w:r>
      <w:r w:rsidR="00907C88">
        <w:t>arametry zabudowy należy</w:t>
      </w:r>
      <w:r w:rsidR="002058B5">
        <w:t xml:space="preserve"> zatem</w:t>
      </w:r>
      <w:r w:rsidR="00907C88">
        <w:t xml:space="preserve"> bilansować dla całej  działki </w:t>
      </w:r>
      <w:r w:rsidR="002058B5">
        <w:t xml:space="preserve">nr </w:t>
      </w:r>
      <w:r w:rsidR="00907C88">
        <w:t>267/11 stanowiącej teren należący do CSA PG. Dla celów realizacji przedsięwzięcia określono parametry liczbowe istniejącej zabudowy:</w:t>
      </w:r>
    </w:p>
    <w:p w:rsidR="00907C88" w:rsidRDefault="00907C88" w:rsidP="00907C88">
      <w:pPr>
        <w:pStyle w:val="Akapitzlist"/>
        <w:ind w:left="426" w:firstLine="282"/>
        <w:jc w:val="both"/>
      </w:pPr>
    </w:p>
    <w:p w:rsidR="00907C88" w:rsidRDefault="00907C88" w:rsidP="00907C88">
      <w:pPr>
        <w:pStyle w:val="Akapitzlist"/>
        <w:ind w:left="426" w:firstLine="282"/>
        <w:jc w:val="both"/>
      </w:pPr>
    </w:p>
    <w:p w:rsidR="00907C88" w:rsidRDefault="00907C88" w:rsidP="00907C88">
      <w:pPr>
        <w:pStyle w:val="Akapitzlist"/>
        <w:ind w:left="426" w:firstLine="282"/>
        <w:jc w:val="both"/>
      </w:pPr>
    </w:p>
    <w:p w:rsidR="00907C88" w:rsidRDefault="00907C88" w:rsidP="00907C88">
      <w:pPr>
        <w:pStyle w:val="Akapitzlist"/>
        <w:ind w:left="426" w:firstLine="282"/>
        <w:jc w:val="both"/>
      </w:pPr>
    </w:p>
    <w:tbl>
      <w:tblPr>
        <w:tblStyle w:val="Tabela-Siatka"/>
        <w:tblW w:w="0" w:type="auto"/>
        <w:tblInd w:w="426" w:type="dxa"/>
        <w:tblLook w:val="04A0" w:firstRow="1" w:lastRow="0" w:firstColumn="1" w:lastColumn="0" w:noHBand="0" w:noVBand="1"/>
      </w:tblPr>
      <w:tblGrid>
        <w:gridCol w:w="3084"/>
        <w:gridCol w:w="2410"/>
        <w:gridCol w:w="1134"/>
        <w:gridCol w:w="2376"/>
      </w:tblGrid>
      <w:tr w:rsidR="001B3AA0" w:rsidTr="00295A92">
        <w:tc>
          <w:tcPr>
            <w:tcW w:w="3084" w:type="dxa"/>
            <w:vAlign w:val="center"/>
          </w:tcPr>
          <w:p w:rsidR="00907C88" w:rsidRDefault="00907C88" w:rsidP="00295A92">
            <w:pPr>
              <w:pStyle w:val="Akapitzlist"/>
              <w:ind w:left="0"/>
              <w:jc w:val="center"/>
            </w:pPr>
          </w:p>
        </w:tc>
        <w:tc>
          <w:tcPr>
            <w:tcW w:w="2410" w:type="dxa"/>
            <w:vAlign w:val="center"/>
          </w:tcPr>
          <w:p w:rsidR="00907C88" w:rsidRDefault="00907C88" w:rsidP="00295A92">
            <w:pPr>
              <w:pStyle w:val="Akapitzlist"/>
              <w:ind w:left="0"/>
              <w:jc w:val="center"/>
            </w:pPr>
            <w:r w:rsidRPr="00907C88">
              <w:t>Parametry istniejącego zagospodarowania terenu ( dz. Nr 267/11)</w:t>
            </w:r>
          </w:p>
        </w:tc>
        <w:tc>
          <w:tcPr>
            <w:tcW w:w="1134" w:type="dxa"/>
            <w:vAlign w:val="center"/>
          </w:tcPr>
          <w:p w:rsidR="00907C88" w:rsidRDefault="001B3AA0" w:rsidP="00295A92">
            <w:pPr>
              <w:pStyle w:val="Akapitzlist"/>
              <w:ind w:left="0"/>
              <w:jc w:val="center"/>
            </w:pPr>
            <w:r>
              <w:t>Ustalenia planu</w:t>
            </w:r>
          </w:p>
        </w:tc>
        <w:tc>
          <w:tcPr>
            <w:tcW w:w="2376" w:type="dxa"/>
            <w:vAlign w:val="center"/>
          </w:tcPr>
          <w:p w:rsidR="00907C88" w:rsidRDefault="00907C88" w:rsidP="00295A92">
            <w:pPr>
              <w:pStyle w:val="Akapitzlist"/>
              <w:ind w:left="0"/>
              <w:jc w:val="center"/>
            </w:pPr>
            <w:r w:rsidRPr="00907C88">
              <w:t>Do realizacji w zakresie planowanej inwestycji</w:t>
            </w:r>
          </w:p>
          <w:p w:rsidR="00FE3C86" w:rsidRDefault="00FE3C86" w:rsidP="00295A92">
            <w:pPr>
              <w:pStyle w:val="Akapitzlist"/>
              <w:ind w:left="0"/>
              <w:jc w:val="center"/>
            </w:pPr>
            <w:r w:rsidRPr="00A70D21">
              <w:rPr>
                <w:sz w:val="18"/>
              </w:rPr>
              <w:t xml:space="preserve">(przy założeniu maksymalnego wykorzystania </w:t>
            </w:r>
            <w:r w:rsidR="00A70D21">
              <w:rPr>
                <w:sz w:val="18"/>
              </w:rPr>
              <w:t>współczynników</w:t>
            </w:r>
            <w:r w:rsidRPr="00A70D21">
              <w:rPr>
                <w:sz w:val="18"/>
              </w:rPr>
              <w:t xml:space="preserve"> zabudowy</w:t>
            </w:r>
            <w:r w:rsidR="00A70D21">
              <w:rPr>
                <w:sz w:val="18"/>
              </w:rPr>
              <w:t>)</w:t>
            </w:r>
          </w:p>
        </w:tc>
      </w:tr>
      <w:tr w:rsidR="00165B21" w:rsidTr="00295A92">
        <w:tc>
          <w:tcPr>
            <w:tcW w:w="3084" w:type="dxa"/>
            <w:vAlign w:val="center"/>
          </w:tcPr>
          <w:p w:rsidR="00165B21" w:rsidRDefault="00165B21" w:rsidP="00295A92">
            <w:pPr>
              <w:pStyle w:val="Akapitzlist"/>
              <w:ind w:left="0"/>
              <w:jc w:val="center"/>
            </w:pPr>
            <w:r>
              <w:t>Powierzchnia terenu</w:t>
            </w:r>
          </w:p>
          <w:p w:rsidR="00165B21" w:rsidRDefault="00165B21" w:rsidP="00295A92">
            <w:pPr>
              <w:pStyle w:val="Akapitzlist"/>
              <w:ind w:left="0"/>
              <w:jc w:val="center"/>
            </w:pPr>
            <w:r>
              <w:t>(dz. nr 267/11)</w:t>
            </w:r>
          </w:p>
        </w:tc>
        <w:tc>
          <w:tcPr>
            <w:tcW w:w="5920" w:type="dxa"/>
            <w:gridSpan w:val="3"/>
            <w:vAlign w:val="center"/>
          </w:tcPr>
          <w:p w:rsidR="00165B21" w:rsidRDefault="009D5098" w:rsidP="00295A92">
            <w:pPr>
              <w:pStyle w:val="Akapitzlist"/>
              <w:ind w:left="0"/>
              <w:jc w:val="center"/>
            </w:pPr>
            <w:r>
              <w:t>80.680m</w:t>
            </w:r>
            <w:r>
              <w:rPr>
                <w:vertAlign w:val="superscript"/>
              </w:rPr>
              <w:t>2</w:t>
            </w:r>
            <w:r>
              <w:t xml:space="preserve"> (8,68 ha)</w:t>
            </w:r>
          </w:p>
        </w:tc>
      </w:tr>
      <w:tr w:rsidR="001B3AA0" w:rsidTr="00295A92">
        <w:tc>
          <w:tcPr>
            <w:tcW w:w="3084" w:type="dxa"/>
            <w:vAlign w:val="center"/>
          </w:tcPr>
          <w:p w:rsidR="00907C88" w:rsidRDefault="001B3AA0" w:rsidP="00295A92">
            <w:pPr>
              <w:pStyle w:val="Akapitzlist"/>
              <w:ind w:left="0"/>
              <w:jc w:val="center"/>
            </w:pPr>
            <w:r>
              <w:t xml:space="preserve">Wielkość powierzchni </w:t>
            </w:r>
            <w:proofErr w:type="spellStart"/>
            <w:r>
              <w:t>zab</w:t>
            </w:r>
            <w:proofErr w:type="spellEnd"/>
            <w:r>
              <w:t>. w stosunku do pow. działki</w:t>
            </w:r>
          </w:p>
        </w:tc>
        <w:tc>
          <w:tcPr>
            <w:tcW w:w="2410" w:type="dxa"/>
            <w:vAlign w:val="center"/>
          </w:tcPr>
          <w:p w:rsidR="00907C88" w:rsidRDefault="00295A92" w:rsidP="00295A92">
            <w:pPr>
              <w:pStyle w:val="Akapitzlist"/>
              <w:ind w:left="0"/>
              <w:jc w:val="center"/>
            </w:pPr>
            <w:r>
              <w:t>5</w:t>
            </w:r>
            <w:r w:rsidR="00F80FE6">
              <w:t>,5</w:t>
            </w:r>
            <w:r>
              <w:t>%</w:t>
            </w:r>
          </w:p>
        </w:tc>
        <w:tc>
          <w:tcPr>
            <w:tcW w:w="1134" w:type="dxa"/>
            <w:vAlign w:val="center"/>
          </w:tcPr>
          <w:p w:rsidR="00907C88" w:rsidRDefault="00165B21" w:rsidP="00295A92">
            <w:pPr>
              <w:pStyle w:val="Akapitzlist"/>
              <w:ind w:left="0"/>
              <w:jc w:val="center"/>
            </w:pPr>
            <w:r>
              <w:t>max 52%</w:t>
            </w:r>
          </w:p>
        </w:tc>
        <w:tc>
          <w:tcPr>
            <w:tcW w:w="2376" w:type="dxa"/>
            <w:vAlign w:val="center"/>
          </w:tcPr>
          <w:p w:rsidR="00907C88" w:rsidRDefault="00FE3C86" w:rsidP="00295A92">
            <w:pPr>
              <w:pStyle w:val="Akapitzlist"/>
              <w:ind w:left="0"/>
              <w:jc w:val="center"/>
            </w:pPr>
            <w:r>
              <w:t>46,5</w:t>
            </w:r>
            <w:r w:rsidR="00F80FE6">
              <w:t>%</w:t>
            </w:r>
          </w:p>
        </w:tc>
      </w:tr>
      <w:tr w:rsidR="001B3AA0" w:rsidTr="00295A92">
        <w:tc>
          <w:tcPr>
            <w:tcW w:w="3084" w:type="dxa"/>
            <w:vAlign w:val="center"/>
          </w:tcPr>
          <w:p w:rsidR="00907C88" w:rsidRDefault="001B3AA0" w:rsidP="00295A92">
            <w:pPr>
              <w:pStyle w:val="Akapitzlist"/>
              <w:ind w:left="0"/>
              <w:jc w:val="center"/>
            </w:pPr>
            <w:r>
              <w:t>Powierzchnia biologicznie czynna</w:t>
            </w:r>
          </w:p>
        </w:tc>
        <w:tc>
          <w:tcPr>
            <w:tcW w:w="2410" w:type="dxa"/>
            <w:vAlign w:val="center"/>
          </w:tcPr>
          <w:p w:rsidR="00907C88" w:rsidRDefault="00705438" w:rsidP="00295A92">
            <w:pPr>
              <w:pStyle w:val="Akapitzlist"/>
              <w:ind w:left="0"/>
              <w:jc w:val="center"/>
            </w:pPr>
            <w:r>
              <w:t>80%</w:t>
            </w:r>
          </w:p>
        </w:tc>
        <w:tc>
          <w:tcPr>
            <w:tcW w:w="1134" w:type="dxa"/>
            <w:vAlign w:val="center"/>
          </w:tcPr>
          <w:p w:rsidR="00907C88" w:rsidRDefault="00705438" w:rsidP="00295A92">
            <w:pPr>
              <w:pStyle w:val="Akapitzlist"/>
              <w:ind w:left="0"/>
              <w:jc w:val="center"/>
            </w:pPr>
            <w:r>
              <w:t xml:space="preserve">min </w:t>
            </w:r>
            <w:r w:rsidR="00165B21">
              <w:t>20%</w:t>
            </w:r>
          </w:p>
        </w:tc>
        <w:tc>
          <w:tcPr>
            <w:tcW w:w="2376" w:type="dxa"/>
            <w:vAlign w:val="center"/>
          </w:tcPr>
          <w:p w:rsidR="00907C88" w:rsidRDefault="00FE3C86" w:rsidP="00295A92">
            <w:pPr>
              <w:pStyle w:val="Akapitzlist"/>
              <w:ind w:left="0"/>
              <w:jc w:val="center"/>
            </w:pPr>
            <w:r>
              <w:t>60</w:t>
            </w:r>
            <w:r w:rsidR="00F80FE6">
              <w:t>%</w:t>
            </w:r>
          </w:p>
        </w:tc>
      </w:tr>
      <w:tr w:rsidR="001B3AA0" w:rsidTr="00295A92">
        <w:tc>
          <w:tcPr>
            <w:tcW w:w="3084" w:type="dxa"/>
            <w:vAlign w:val="center"/>
          </w:tcPr>
          <w:p w:rsidR="00907C88" w:rsidRDefault="001B3AA0" w:rsidP="00295A92">
            <w:pPr>
              <w:pStyle w:val="Akapitzlist"/>
              <w:ind w:left="0"/>
              <w:jc w:val="center"/>
            </w:pPr>
            <w:r>
              <w:t>Intensywność zabudowy</w:t>
            </w:r>
          </w:p>
          <w:p w:rsidR="001B3AA0" w:rsidRDefault="001B3AA0" w:rsidP="00295A92">
            <w:pPr>
              <w:pStyle w:val="Akapitzlist"/>
              <w:ind w:left="0"/>
              <w:jc w:val="center"/>
            </w:pPr>
          </w:p>
        </w:tc>
        <w:tc>
          <w:tcPr>
            <w:tcW w:w="2410" w:type="dxa"/>
            <w:vAlign w:val="center"/>
          </w:tcPr>
          <w:p w:rsidR="00907C88" w:rsidRDefault="00330BA1" w:rsidP="00295A92">
            <w:pPr>
              <w:pStyle w:val="Akapitzlist"/>
              <w:ind w:left="0"/>
              <w:jc w:val="center"/>
            </w:pPr>
            <w:r>
              <w:t>0,08</w:t>
            </w:r>
          </w:p>
        </w:tc>
        <w:tc>
          <w:tcPr>
            <w:tcW w:w="1134" w:type="dxa"/>
            <w:vAlign w:val="center"/>
          </w:tcPr>
          <w:p w:rsidR="00907C88" w:rsidRDefault="00165B21" w:rsidP="00295A92">
            <w:pPr>
              <w:pStyle w:val="Akapitzlist"/>
              <w:ind w:left="0"/>
              <w:jc w:val="center"/>
            </w:pPr>
            <w:r>
              <w:t>1.0</w:t>
            </w:r>
          </w:p>
        </w:tc>
        <w:tc>
          <w:tcPr>
            <w:tcW w:w="2376" w:type="dxa"/>
            <w:vAlign w:val="center"/>
          </w:tcPr>
          <w:p w:rsidR="00907C88" w:rsidRDefault="00F80FE6" w:rsidP="00295A92">
            <w:pPr>
              <w:pStyle w:val="Akapitzlist"/>
              <w:ind w:left="0"/>
              <w:jc w:val="center"/>
            </w:pPr>
            <w:r>
              <w:t>0,</w:t>
            </w:r>
            <w:r w:rsidR="00E27628">
              <w:t>92</w:t>
            </w:r>
          </w:p>
        </w:tc>
      </w:tr>
    </w:tbl>
    <w:p w:rsidR="00777C4D" w:rsidRDefault="00777C4D" w:rsidP="00777C4D">
      <w:pPr>
        <w:pStyle w:val="Akapitzlist"/>
        <w:ind w:left="426"/>
      </w:pPr>
    </w:p>
    <w:p w:rsidR="00165B21" w:rsidRDefault="00165B21" w:rsidP="002058B5">
      <w:pPr>
        <w:pStyle w:val="Akapitzlist"/>
        <w:ind w:left="426" w:firstLine="282"/>
        <w:jc w:val="both"/>
      </w:pPr>
      <w:r>
        <w:t>Pozostałe istotne parametry zabudowy i uwarunkowania lokalne wynikające z zapisów planu miejscowego:</w:t>
      </w:r>
    </w:p>
    <w:p w:rsidR="007700DF" w:rsidRDefault="007700DF" w:rsidP="007700DF">
      <w:pPr>
        <w:pStyle w:val="Akapitzlist"/>
        <w:ind w:left="426"/>
        <w:jc w:val="both"/>
      </w:pPr>
      <w:r>
        <w:t xml:space="preserve">- nieprzekraczalne linie zabudowy – w planie określono nieprzekraczalne linie zabudowy (zgodnie z załącznikiem nr </w:t>
      </w:r>
      <w:r w:rsidR="002058B5" w:rsidRPr="002058B5">
        <w:t>1.2.1</w:t>
      </w:r>
      <w:r w:rsidRPr="002058B5">
        <w:t xml:space="preserve">) </w:t>
      </w:r>
      <w:r w:rsidRPr="007700DF">
        <w:t xml:space="preserve">określające obszar na którym dopuszcza się wznoszenie budynków. </w:t>
      </w:r>
    </w:p>
    <w:p w:rsidR="00165B21" w:rsidRDefault="00165B21" w:rsidP="007700DF">
      <w:pPr>
        <w:pStyle w:val="Akapitzlist"/>
        <w:ind w:left="426"/>
        <w:jc w:val="both"/>
      </w:pPr>
      <w:r>
        <w:t>- wysokość zabudowy – 20 m , jako wysokość mierzona od warstwicy terenu w najniższym punkcie obrysu , do najwyższego punktu na pokryciu połaci dachowej</w:t>
      </w:r>
      <w:r w:rsidR="002058B5">
        <w:t>.</w:t>
      </w:r>
      <w:r>
        <w:t xml:space="preserve"> </w:t>
      </w:r>
    </w:p>
    <w:p w:rsidR="00165B21" w:rsidRDefault="00165B21" w:rsidP="007700DF">
      <w:pPr>
        <w:pStyle w:val="Akapitzlist"/>
        <w:ind w:left="426"/>
        <w:jc w:val="both"/>
      </w:pPr>
      <w:r>
        <w:t>- forma zabudowy i kształt dachu – plan nie określa wymagań w zakresie formy zabudowy</w:t>
      </w:r>
      <w:r w:rsidR="002058B5">
        <w:t>.</w:t>
      </w:r>
    </w:p>
    <w:p w:rsidR="00165B21" w:rsidRDefault="00165B21" w:rsidP="007700DF">
      <w:pPr>
        <w:pStyle w:val="Akapitzlist"/>
        <w:ind w:left="426"/>
        <w:jc w:val="both"/>
      </w:pPr>
      <w:r>
        <w:t>- dostępność drogowa</w:t>
      </w:r>
      <w:r w:rsidR="002058B5">
        <w:t>.</w:t>
      </w:r>
    </w:p>
    <w:p w:rsidR="00165B21" w:rsidRDefault="00165B21" w:rsidP="007700DF">
      <w:pPr>
        <w:pStyle w:val="Akapitzlist"/>
        <w:ind w:left="426"/>
        <w:jc w:val="both"/>
      </w:pPr>
      <w:r>
        <w:t xml:space="preserve">- zachowanie szpaleru drzew rosnącego w </w:t>
      </w:r>
      <w:r w:rsidR="007700DF">
        <w:t>północno wschodniej części terenu objętego zakresem opracowania</w:t>
      </w:r>
      <w:r w:rsidR="002058B5">
        <w:t>.</w:t>
      </w:r>
    </w:p>
    <w:p w:rsidR="00165B21" w:rsidRDefault="007700DF" w:rsidP="007700DF">
      <w:pPr>
        <w:pStyle w:val="Akapitzlist"/>
        <w:ind w:left="426"/>
        <w:jc w:val="both"/>
      </w:pPr>
      <w:r>
        <w:t xml:space="preserve">- plan miejscowy wskazuje na konieczność rehabilitacji krajobrazowej przedmiotowego terenu m.in. poprzez realizacje: nowej zabudowy usługowej, zagospodarowania rekreacyjno – sportowego, oraz poprzez nasycenie terenu zielenią, przy zachowaniu walorów krajobrazowych wynikających z kontekstu historycznego i kierunków rozwoju. </w:t>
      </w:r>
    </w:p>
    <w:p w:rsidR="007700DF" w:rsidRPr="00777C4D" w:rsidRDefault="007700DF" w:rsidP="007700DF">
      <w:pPr>
        <w:pStyle w:val="Akapitzlist"/>
        <w:ind w:left="426"/>
        <w:jc w:val="both"/>
      </w:pPr>
    </w:p>
    <w:p w:rsidR="00777C4D" w:rsidRDefault="00777C4D" w:rsidP="00777C4D">
      <w:pPr>
        <w:pStyle w:val="Akapitzlist"/>
        <w:numPr>
          <w:ilvl w:val="0"/>
          <w:numId w:val="3"/>
        </w:numPr>
        <w:ind w:left="426" w:hanging="426"/>
        <w:rPr>
          <w:b/>
        </w:rPr>
      </w:pPr>
      <w:r>
        <w:rPr>
          <w:b/>
        </w:rPr>
        <w:t>KONTEKST HISTORYCZNY</w:t>
      </w:r>
    </w:p>
    <w:p w:rsidR="002774D2" w:rsidRPr="00F046DE" w:rsidRDefault="002774D2" w:rsidP="002774D2">
      <w:pPr>
        <w:ind w:left="426"/>
        <w:jc w:val="both"/>
        <w:rPr>
          <w:b/>
        </w:rPr>
      </w:pPr>
      <w:r w:rsidRPr="00F046DE">
        <w:rPr>
          <w:b/>
        </w:rPr>
        <w:t>Wielka Aleja</w:t>
      </w:r>
    </w:p>
    <w:p w:rsidR="002774D2" w:rsidRDefault="002774D2" w:rsidP="002058B5">
      <w:pPr>
        <w:ind w:left="426" w:firstLine="282"/>
        <w:jc w:val="both"/>
      </w:pPr>
      <w:r>
        <w:t xml:space="preserve">Wielka Aleja to historyczna nazwa części głównej arterii komunikacyjnej Trójmiasta w Gdańsku, obecnie nazwana Aleją Zwycięstwa. Przebiega przez dzielnice Wrzeszcz i Aniołki. Stanowi najstarszą w Polsce zachowaną czterorzędową aleje śródmiejską tego rodzaju.  Powstała w latach 1768-1770, na miejscu istniejącej od wieków drogi z Gdańska do Oliwy. Aleję poprowadzono od nowożytnych fortyfikacji Bramy Oliwskiej będącej ówczesną granicą Gdańska do Wrzeszcza stanowiącego w tamtych latach samodzielne miasto. W czterech rzędach posadzono 1416 lip - długowiecznych drzew sprowadzonych z Holandii. Szerokość alei wynosiła 30 metrów. Środkowy pas przeznaczony był dla pojazdów, dwie pięciometrowe promenady dla pieszych. W ten sposób ukształtowała się reprezentacyjna arteria łącząca dwa miasta. Do 1822 roku nazywana była Aleją Wrzeszczańską. Pod koniec XVIII wieku wzdłuż alei zaczęły powstawać cmentarze. Po I rozbiorze </w:t>
      </w:r>
      <w:r>
        <w:lastRenderedPageBreak/>
        <w:t xml:space="preserve">Polski w połowie alei została poprowadzona granica między Prusami, a należącym do Polski Gdańskiem. Ucierpiały pojedyncze drzewa wchodzące w skład reprezentacyjnego szpaleru, jednak szybko zostały zastąpione nowym drzewostanem. </w:t>
      </w:r>
    </w:p>
    <w:p w:rsidR="002774D2" w:rsidRDefault="002774D2" w:rsidP="002774D2">
      <w:pPr>
        <w:ind w:left="426"/>
        <w:jc w:val="center"/>
      </w:pPr>
      <w:r>
        <w:rPr>
          <w:noProof/>
          <w:lang w:eastAsia="pl-PL"/>
        </w:rPr>
        <w:drawing>
          <wp:inline distT="0" distB="0" distL="0" distR="0">
            <wp:extent cx="5029200" cy="2938666"/>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u8ZzH.jpg"/>
                    <pic:cNvPicPr/>
                  </pic:nvPicPr>
                  <pic:blipFill>
                    <a:blip r:embed="rId7">
                      <a:extLst>
                        <a:ext uri="{28A0092B-C50C-407E-A947-70E740481C1C}">
                          <a14:useLocalDpi xmlns:a14="http://schemas.microsoft.com/office/drawing/2010/main" val="0"/>
                        </a:ext>
                      </a:extLst>
                    </a:blip>
                    <a:stretch>
                      <a:fillRect/>
                    </a:stretch>
                  </pic:blipFill>
                  <pic:spPr>
                    <a:xfrm>
                      <a:off x="0" y="0"/>
                      <a:ext cx="5060649" cy="2957042"/>
                    </a:xfrm>
                    <a:prstGeom prst="rect">
                      <a:avLst/>
                    </a:prstGeom>
                  </pic:spPr>
                </pic:pic>
              </a:graphicData>
            </a:graphic>
          </wp:inline>
        </w:drawing>
      </w:r>
    </w:p>
    <w:p w:rsidR="002774D2" w:rsidRDefault="002774D2" w:rsidP="002058B5">
      <w:pPr>
        <w:ind w:left="426" w:firstLine="282"/>
        <w:jc w:val="both"/>
      </w:pPr>
      <w:r>
        <w:t xml:space="preserve">Wielka Aleja została włączona w granice administracyjne miasta 17 marca 1814 roku. Początkowo służyła jako promenada, później pojawiły się na niej tramwaje konne zastąpione pod koniec XIX wieku elektrycznymi. Znajdowały się tam również liczne kawiarnie. Na początku XX pojawiło się odgałęzienie alei w kierunku nowo powstałej Politechniki Gdańskiej. W 1915 roku została otwarta hala sportowo widowiskowa, adaptowana po II wojnie światowej na siedzibę Opery Bałtyckiej. Zwiększony ruch na Wielkiej Alei spowodował jej rozległą modernizację – wydzielono torowisko, dwie oddzielne jezdnie pokryte później asfaltem, dwie ścieżki rowerowe oraz włączenie Końskiego Traktu do systemu komunikacji. Prace modernizacyjne zakończono </w:t>
      </w:r>
      <w:r w:rsidR="002058B5">
        <w:br/>
      </w:r>
      <w:r>
        <w:t xml:space="preserve">w 1926 roku. W czasie wojny lipy często pełniły funkcje szubienic, na których hitlerowcy dokonywali publicznych egzekucji. W 1966 roku rozpoczęło się usuwanie cmentarzy znajdujących się wzdłuż alei, które następnie zostały przekształcone w parki. W latach 80. , kosztem terenów zielonych powstała nowa, wschodnia jezdnia. </w:t>
      </w:r>
    </w:p>
    <w:p w:rsidR="002774D2" w:rsidRPr="008F698B" w:rsidRDefault="002774D2" w:rsidP="002774D2">
      <w:pPr>
        <w:ind w:left="426"/>
        <w:jc w:val="both"/>
        <w:rPr>
          <w:b/>
        </w:rPr>
      </w:pPr>
      <w:r w:rsidRPr="008F698B">
        <w:rPr>
          <w:b/>
        </w:rPr>
        <w:t>Cmentarny zespół Wielkiej Alei w otoczeniu Politechniki Gdańskiej</w:t>
      </w:r>
    </w:p>
    <w:p w:rsidR="002774D2" w:rsidRDefault="002774D2" w:rsidP="002058B5">
      <w:pPr>
        <w:ind w:left="426" w:firstLine="282"/>
        <w:jc w:val="both"/>
      </w:pPr>
      <w:r>
        <w:t xml:space="preserve">Przy Wielkiej Alei zlokalizowane były nekropolie będące miejscem pochówku -  głównie katolików i ewangelików. Przy dzisiejszej ulicy Narutowicza znajdował się cmentarz parafian </w:t>
      </w:r>
      <w:r w:rsidR="002058B5">
        <w:br/>
      </w:r>
      <w:r>
        <w:t>z Kaplicy Królewskiej i kościoła św. Mikołaja. Nieco dalej zlokalizowany był cmentarz kościoła św. Katarzyny oraz ewangelicka nekropolia NMP. Część cmentarza przy ul. Traugutta była własnością kościoła św. Brygidy i św. Józefa. Tereny pochówku mieszkańcó</w:t>
      </w:r>
      <w:bookmarkStart w:id="0" w:name="_GoBack"/>
      <w:bookmarkEnd w:id="0"/>
      <w:r>
        <w:t>w Gdańska przetrwały okres wojenny, po którym zostały zrównane z ziemią jako niechciane, poniemieckie pozostałości. Na ich miejscu powstawał park akademicki i tereny zielone.</w:t>
      </w:r>
    </w:p>
    <w:p w:rsidR="002774D2" w:rsidRDefault="002774D2" w:rsidP="002774D2">
      <w:pPr>
        <w:ind w:left="426"/>
        <w:jc w:val="center"/>
      </w:pPr>
      <w:r>
        <w:rPr>
          <w:noProof/>
          <w:lang w:eastAsia="pl-PL"/>
        </w:rPr>
        <w:lastRenderedPageBreak/>
        <w:drawing>
          <wp:inline distT="0" distB="0" distL="0" distR="0">
            <wp:extent cx="4513599" cy="2781300"/>
            <wp:effectExtent l="0" t="0" r="127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mentarze.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29761" cy="2791259"/>
                    </a:xfrm>
                    <a:prstGeom prst="rect">
                      <a:avLst/>
                    </a:prstGeom>
                  </pic:spPr>
                </pic:pic>
              </a:graphicData>
            </a:graphic>
          </wp:inline>
        </w:drawing>
      </w:r>
    </w:p>
    <w:p w:rsidR="002058B5" w:rsidRDefault="002058B5" w:rsidP="002774D2">
      <w:pPr>
        <w:ind w:left="426"/>
        <w:jc w:val="center"/>
      </w:pPr>
    </w:p>
    <w:p w:rsidR="002774D2" w:rsidRPr="000230A9" w:rsidRDefault="002774D2" w:rsidP="002774D2">
      <w:pPr>
        <w:pStyle w:val="Akapitzlist"/>
        <w:numPr>
          <w:ilvl w:val="0"/>
          <w:numId w:val="6"/>
        </w:numPr>
        <w:spacing w:after="0" w:line="259" w:lineRule="auto"/>
        <w:ind w:left="426" w:firstLine="0"/>
        <w:jc w:val="both"/>
        <w:rPr>
          <w:sz w:val="16"/>
          <w:szCs w:val="16"/>
        </w:rPr>
      </w:pPr>
      <w:r w:rsidRPr="00D55281">
        <w:rPr>
          <w:b/>
          <w:sz w:val="16"/>
          <w:szCs w:val="16"/>
        </w:rPr>
        <w:t>Cmentarz Św. Mikołaja i Królewskiej Kaplicy</w:t>
      </w:r>
      <w:r>
        <w:rPr>
          <w:sz w:val="16"/>
          <w:szCs w:val="16"/>
        </w:rPr>
        <w:t xml:space="preserve"> (St. </w:t>
      </w:r>
      <w:proofErr w:type="spellStart"/>
      <w:r>
        <w:rPr>
          <w:sz w:val="16"/>
          <w:szCs w:val="16"/>
        </w:rPr>
        <w:t>Nikolai</w:t>
      </w:r>
      <w:proofErr w:type="spellEnd"/>
      <w:r>
        <w:rPr>
          <w:sz w:val="16"/>
          <w:szCs w:val="16"/>
        </w:rPr>
        <w:t xml:space="preserve">, St. </w:t>
      </w:r>
      <w:proofErr w:type="spellStart"/>
      <w:r>
        <w:rPr>
          <w:sz w:val="16"/>
          <w:szCs w:val="16"/>
        </w:rPr>
        <w:t>MarienKirchhof</w:t>
      </w:r>
      <w:proofErr w:type="spellEnd"/>
      <w:r>
        <w:rPr>
          <w:sz w:val="16"/>
          <w:szCs w:val="16"/>
        </w:rPr>
        <w:t>)</w:t>
      </w:r>
    </w:p>
    <w:p w:rsidR="002774D2" w:rsidRPr="000230A9" w:rsidRDefault="002774D2" w:rsidP="002774D2">
      <w:pPr>
        <w:spacing w:after="0"/>
        <w:ind w:left="426"/>
        <w:jc w:val="both"/>
        <w:rPr>
          <w:sz w:val="16"/>
          <w:szCs w:val="16"/>
        </w:rPr>
      </w:pPr>
      <w:r w:rsidRPr="000230A9">
        <w:rPr>
          <w:sz w:val="16"/>
          <w:szCs w:val="16"/>
        </w:rPr>
        <w:t xml:space="preserve">Powstał w II połowie XIX wieku. </w:t>
      </w:r>
      <w:r>
        <w:rPr>
          <w:sz w:val="16"/>
          <w:szCs w:val="16"/>
        </w:rPr>
        <w:t xml:space="preserve">Graniczył z ewangelickim cmentarzem św. Katarzyny. Założony na planie prostokąta, podzielony na kwatery 2 alejami podłużnymi i przecinającą ją prostopadle aleją poprzeczną. </w:t>
      </w:r>
      <w:r w:rsidRPr="000230A9">
        <w:rPr>
          <w:sz w:val="16"/>
          <w:szCs w:val="16"/>
        </w:rPr>
        <w:t xml:space="preserve">Czynny do czasów II wojny światowej. W latach 70. Urządzono na jego terenie park, gdzie wygospodarowano miejsce na lapidarium. </w:t>
      </w:r>
    </w:p>
    <w:p w:rsidR="002774D2" w:rsidRPr="002111B2" w:rsidRDefault="002774D2" w:rsidP="002774D2">
      <w:pPr>
        <w:pStyle w:val="Akapitzlist"/>
        <w:numPr>
          <w:ilvl w:val="0"/>
          <w:numId w:val="6"/>
        </w:numPr>
        <w:spacing w:after="0" w:line="259" w:lineRule="auto"/>
        <w:ind w:left="426" w:firstLine="0"/>
        <w:jc w:val="both"/>
        <w:rPr>
          <w:sz w:val="16"/>
          <w:szCs w:val="16"/>
        </w:rPr>
      </w:pPr>
      <w:r w:rsidRPr="00D55281">
        <w:rPr>
          <w:b/>
          <w:sz w:val="16"/>
          <w:szCs w:val="16"/>
        </w:rPr>
        <w:t>Cmentarz Najświętszej Marii Panny</w:t>
      </w:r>
      <w:r w:rsidRPr="002111B2">
        <w:rPr>
          <w:sz w:val="16"/>
          <w:szCs w:val="16"/>
        </w:rPr>
        <w:t xml:space="preserve"> ( St. </w:t>
      </w:r>
      <w:proofErr w:type="spellStart"/>
      <w:r w:rsidRPr="002111B2">
        <w:rPr>
          <w:sz w:val="16"/>
          <w:szCs w:val="16"/>
        </w:rPr>
        <w:t>MarienKirchhof</w:t>
      </w:r>
      <w:proofErr w:type="spellEnd"/>
      <w:r w:rsidRPr="002111B2">
        <w:rPr>
          <w:sz w:val="16"/>
          <w:szCs w:val="16"/>
        </w:rPr>
        <w:t>)</w:t>
      </w:r>
    </w:p>
    <w:p w:rsidR="002774D2" w:rsidRPr="000230A9" w:rsidRDefault="002774D2" w:rsidP="002774D2">
      <w:pPr>
        <w:spacing w:after="0"/>
        <w:ind w:left="426"/>
        <w:jc w:val="both"/>
        <w:rPr>
          <w:sz w:val="16"/>
          <w:szCs w:val="16"/>
        </w:rPr>
      </w:pPr>
      <w:r w:rsidRPr="000230A9">
        <w:rPr>
          <w:sz w:val="16"/>
          <w:szCs w:val="16"/>
        </w:rPr>
        <w:t xml:space="preserve">Powstał w II połowie XIX wieku jako cmentarz ewangelicki. </w:t>
      </w:r>
      <w:r>
        <w:rPr>
          <w:sz w:val="16"/>
          <w:szCs w:val="16"/>
        </w:rPr>
        <w:t xml:space="preserve">Został założony na planie zbliżonym do prostokąta wydłużonego równolegle do alei. </w:t>
      </w:r>
      <w:r w:rsidRPr="000230A9">
        <w:rPr>
          <w:sz w:val="16"/>
          <w:szCs w:val="16"/>
        </w:rPr>
        <w:t>Został zamknięty w 1956 roku, od lat 70. Tereny byłego cmentarza pełnią funkcję parku.</w:t>
      </w:r>
      <w:r>
        <w:rPr>
          <w:sz w:val="16"/>
          <w:szCs w:val="16"/>
        </w:rPr>
        <w:t xml:space="preserve"> Zachował się ślad alei podłużnej i prostopadłych alej poprzecznych (jedna platanowa)</w:t>
      </w:r>
    </w:p>
    <w:p w:rsidR="002774D2" w:rsidRPr="002111B2" w:rsidRDefault="002774D2" w:rsidP="002774D2">
      <w:pPr>
        <w:pStyle w:val="Akapitzlist"/>
        <w:numPr>
          <w:ilvl w:val="0"/>
          <w:numId w:val="6"/>
        </w:numPr>
        <w:spacing w:after="0" w:line="259" w:lineRule="auto"/>
        <w:ind w:left="426" w:firstLine="0"/>
        <w:jc w:val="both"/>
        <w:rPr>
          <w:sz w:val="16"/>
          <w:szCs w:val="16"/>
        </w:rPr>
      </w:pPr>
      <w:r w:rsidRPr="00D55281">
        <w:rPr>
          <w:b/>
          <w:sz w:val="16"/>
          <w:szCs w:val="16"/>
        </w:rPr>
        <w:t>Cmentarz Św. Katarzyny</w:t>
      </w:r>
      <w:r w:rsidRPr="002111B2">
        <w:rPr>
          <w:sz w:val="16"/>
          <w:szCs w:val="16"/>
        </w:rPr>
        <w:t xml:space="preserve"> (St. </w:t>
      </w:r>
      <w:proofErr w:type="spellStart"/>
      <w:r w:rsidRPr="002111B2">
        <w:rPr>
          <w:sz w:val="16"/>
          <w:szCs w:val="16"/>
        </w:rPr>
        <w:t>KatharinenKirchhof</w:t>
      </w:r>
      <w:proofErr w:type="spellEnd"/>
      <w:r w:rsidRPr="002111B2">
        <w:rPr>
          <w:sz w:val="16"/>
          <w:szCs w:val="16"/>
        </w:rPr>
        <w:t>)</w:t>
      </w:r>
    </w:p>
    <w:p w:rsidR="002774D2" w:rsidRPr="000230A9" w:rsidRDefault="002774D2" w:rsidP="002774D2">
      <w:pPr>
        <w:spacing w:after="0"/>
        <w:ind w:left="426"/>
        <w:jc w:val="both"/>
        <w:rPr>
          <w:sz w:val="16"/>
          <w:szCs w:val="16"/>
        </w:rPr>
      </w:pPr>
      <w:r w:rsidRPr="000230A9">
        <w:rPr>
          <w:sz w:val="16"/>
          <w:szCs w:val="16"/>
        </w:rPr>
        <w:t xml:space="preserve">Powstał w II połowie XIX wieku.  Został zamknięty w 1956 roku i zamieniony w park. </w:t>
      </w:r>
      <w:r>
        <w:rPr>
          <w:sz w:val="16"/>
          <w:szCs w:val="16"/>
        </w:rPr>
        <w:t xml:space="preserve">W południowo-zachodniej części działki wybudowano w latach 70. XX wieku gmach szpitala i przychodni lekarskiej. Przy północno-wschodniej granicy głównej alei zachował się ceglany dom grabarza. </w:t>
      </w:r>
    </w:p>
    <w:p w:rsidR="002774D2" w:rsidRPr="002111B2" w:rsidRDefault="002774D2" w:rsidP="002774D2">
      <w:pPr>
        <w:pStyle w:val="Akapitzlist"/>
        <w:numPr>
          <w:ilvl w:val="0"/>
          <w:numId w:val="6"/>
        </w:numPr>
        <w:spacing w:after="0" w:line="259" w:lineRule="auto"/>
        <w:ind w:left="426" w:firstLine="0"/>
        <w:jc w:val="both"/>
        <w:rPr>
          <w:sz w:val="16"/>
          <w:szCs w:val="16"/>
        </w:rPr>
      </w:pPr>
      <w:r w:rsidRPr="00D55281">
        <w:rPr>
          <w:b/>
          <w:sz w:val="16"/>
          <w:szCs w:val="16"/>
        </w:rPr>
        <w:t>Cmentarz Św. Józefa i Brygidy</w:t>
      </w:r>
      <w:r w:rsidRPr="002111B2">
        <w:rPr>
          <w:sz w:val="16"/>
          <w:szCs w:val="16"/>
        </w:rPr>
        <w:t xml:space="preserve"> (St. Joseph </w:t>
      </w:r>
      <w:proofErr w:type="spellStart"/>
      <w:r w:rsidRPr="002111B2">
        <w:rPr>
          <w:sz w:val="16"/>
          <w:szCs w:val="16"/>
        </w:rPr>
        <w:t>und</w:t>
      </w:r>
      <w:proofErr w:type="spellEnd"/>
      <w:r w:rsidRPr="002111B2">
        <w:rPr>
          <w:sz w:val="16"/>
          <w:szCs w:val="16"/>
        </w:rPr>
        <w:t xml:space="preserve"> St. </w:t>
      </w:r>
      <w:proofErr w:type="spellStart"/>
      <w:r w:rsidRPr="002111B2">
        <w:rPr>
          <w:sz w:val="16"/>
          <w:szCs w:val="16"/>
        </w:rPr>
        <w:t>BrigittenKirchhof</w:t>
      </w:r>
      <w:proofErr w:type="spellEnd"/>
      <w:r w:rsidRPr="002111B2">
        <w:rPr>
          <w:sz w:val="16"/>
          <w:szCs w:val="16"/>
        </w:rPr>
        <w:t>)</w:t>
      </w:r>
    </w:p>
    <w:p w:rsidR="002774D2" w:rsidRPr="000230A9" w:rsidRDefault="002774D2" w:rsidP="002774D2">
      <w:pPr>
        <w:spacing w:after="0"/>
        <w:ind w:left="426"/>
        <w:jc w:val="both"/>
        <w:rPr>
          <w:sz w:val="16"/>
          <w:szCs w:val="16"/>
        </w:rPr>
      </w:pPr>
      <w:r w:rsidRPr="000230A9">
        <w:rPr>
          <w:sz w:val="16"/>
          <w:szCs w:val="16"/>
        </w:rPr>
        <w:t>Cmentarz został założony za murami miejskimi, przy ul. Giełguda. Powstał na początki XX wieku, zamknięto go w 1946 roku. Zachowały się na nim fragmenty nagrobków. Obecnie jego obszar wchodzi w skład parku akademickiego.</w:t>
      </w:r>
    </w:p>
    <w:p w:rsidR="002774D2" w:rsidRPr="00D55281" w:rsidRDefault="002774D2" w:rsidP="002774D2">
      <w:pPr>
        <w:pStyle w:val="Akapitzlist"/>
        <w:numPr>
          <w:ilvl w:val="0"/>
          <w:numId w:val="6"/>
        </w:numPr>
        <w:spacing w:after="0" w:line="259" w:lineRule="auto"/>
        <w:ind w:left="426" w:firstLine="0"/>
        <w:jc w:val="both"/>
        <w:rPr>
          <w:sz w:val="16"/>
          <w:szCs w:val="16"/>
        </w:rPr>
      </w:pPr>
      <w:r w:rsidRPr="00D55281">
        <w:rPr>
          <w:b/>
          <w:sz w:val="16"/>
          <w:szCs w:val="16"/>
        </w:rPr>
        <w:t>Cmentarz Lazaretu i Najświętszej Marii Panny</w:t>
      </w:r>
      <w:r w:rsidRPr="00D55281">
        <w:rPr>
          <w:sz w:val="16"/>
          <w:szCs w:val="16"/>
        </w:rPr>
        <w:t>(</w:t>
      </w:r>
      <w:proofErr w:type="spellStart"/>
      <w:r w:rsidRPr="00D55281">
        <w:rPr>
          <w:sz w:val="16"/>
          <w:szCs w:val="16"/>
        </w:rPr>
        <w:t>LazarettKirchhof</w:t>
      </w:r>
      <w:proofErr w:type="spellEnd"/>
      <w:r w:rsidRPr="00D55281">
        <w:rPr>
          <w:sz w:val="16"/>
          <w:szCs w:val="16"/>
        </w:rPr>
        <w:t xml:space="preserve">, St. </w:t>
      </w:r>
      <w:proofErr w:type="spellStart"/>
      <w:r w:rsidRPr="00D55281">
        <w:rPr>
          <w:sz w:val="16"/>
          <w:szCs w:val="16"/>
        </w:rPr>
        <w:t>MarienKirchhof</w:t>
      </w:r>
      <w:proofErr w:type="spellEnd"/>
      <w:r w:rsidRPr="00D55281">
        <w:rPr>
          <w:sz w:val="16"/>
          <w:szCs w:val="16"/>
        </w:rPr>
        <w:t>)</w:t>
      </w:r>
    </w:p>
    <w:p w:rsidR="002774D2" w:rsidRPr="000230A9" w:rsidRDefault="002774D2" w:rsidP="002774D2">
      <w:pPr>
        <w:spacing w:after="0"/>
        <w:ind w:left="426"/>
        <w:jc w:val="both"/>
        <w:rPr>
          <w:sz w:val="16"/>
          <w:szCs w:val="16"/>
        </w:rPr>
      </w:pPr>
      <w:r w:rsidRPr="000230A9">
        <w:rPr>
          <w:sz w:val="16"/>
          <w:szCs w:val="16"/>
        </w:rPr>
        <w:t>Powstał w II poł. XIX wieku, na północnym wschodzie Wielkiej Alei. Został zamknięty w 1946 roku, 20 lat później przekształcił się w park.</w:t>
      </w:r>
    </w:p>
    <w:p w:rsidR="002774D2" w:rsidRDefault="002774D2" w:rsidP="002774D2">
      <w:pPr>
        <w:pStyle w:val="Akapitzlist"/>
        <w:numPr>
          <w:ilvl w:val="0"/>
          <w:numId w:val="6"/>
        </w:numPr>
        <w:spacing w:after="0" w:line="259" w:lineRule="auto"/>
        <w:ind w:left="426" w:firstLine="0"/>
        <w:jc w:val="both"/>
        <w:rPr>
          <w:sz w:val="16"/>
          <w:szCs w:val="16"/>
        </w:rPr>
      </w:pPr>
      <w:r w:rsidRPr="00D55281">
        <w:rPr>
          <w:b/>
          <w:sz w:val="16"/>
          <w:szCs w:val="16"/>
        </w:rPr>
        <w:t>Cmentarz Zespolony p.w. Św. Bartłomieja, Św. Jana, Św. Piotra i Pawła</w:t>
      </w:r>
      <w:r>
        <w:rPr>
          <w:sz w:val="16"/>
          <w:szCs w:val="16"/>
        </w:rPr>
        <w:t xml:space="preserve"> (</w:t>
      </w:r>
      <w:proofErr w:type="spellStart"/>
      <w:r>
        <w:rPr>
          <w:sz w:val="16"/>
          <w:szCs w:val="16"/>
        </w:rPr>
        <w:t>VereinigteKirchhofe</w:t>
      </w:r>
      <w:proofErr w:type="spellEnd"/>
      <w:r>
        <w:rPr>
          <w:sz w:val="16"/>
          <w:szCs w:val="16"/>
        </w:rPr>
        <w:t xml:space="preserve"> von St. </w:t>
      </w:r>
      <w:proofErr w:type="spellStart"/>
      <w:r>
        <w:rPr>
          <w:sz w:val="16"/>
          <w:szCs w:val="16"/>
        </w:rPr>
        <w:t>Bartholomai</w:t>
      </w:r>
      <w:proofErr w:type="spellEnd"/>
      <w:r>
        <w:rPr>
          <w:sz w:val="16"/>
          <w:szCs w:val="16"/>
        </w:rPr>
        <w:t xml:space="preserve">, St. Johannes, St. </w:t>
      </w:r>
      <w:proofErr w:type="spellStart"/>
      <w:r>
        <w:rPr>
          <w:sz w:val="16"/>
          <w:szCs w:val="16"/>
        </w:rPr>
        <w:t>Petriund</w:t>
      </w:r>
      <w:proofErr w:type="spellEnd"/>
      <w:r>
        <w:rPr>
          <w:sz w:val="16"/>
          <w:szCs w:val="16"/>
        </w:rPr>
        <w:t xml:space="preserve"> Pauli)</w:t>
      </w:r>
    </w:p>
    <w:p w:rsidR="002774D2" w:rsidRDefault="002774D2" w:rsidP="002774D2">
      <w:pPr>
        <w:spacing w:after="0"/>
        <w:ind w:left="426"/>
        <w:jc w:val="both"/>
        <w:rPr>
          <w:sz w:val="16"/>
          <w:szCs w:val="16"/>
        </w:rPr>
      </w:pPr>
      <w:r>
        <w:rPr>
          <w:sz w:val="16"/>
          <w:szCs w:val="16"/>
        </w:rPr>
        <w:t xml:space="preserve">Powstał w II poł. XIX wieku po północno-wschodniej stronie Wielkiej Alei, oddzielony od niej placem ćwiczeń (Kleiner </w:t>
      </w:r>
      <w:proofErr w:type="spellStart"/>
      <w:r>
        <w:rPr>
          <w:sz w:val="16"/>
          <w:szCs w:val="16"/>
        </w:rPr>
        <w:t>Exerzierplatz</w:t>
      </w:r>
      <w:proofErr w:type="spellEnd"/>
      <w:r>
        <w:rPr>
          <w:sz w:val="16"/>
          <w:szCs w:val="16"/>
        </w:rPr>
        <w:t xml:space="preserve">). Od północnego wschodu graniczyły z terenem kolei. Położony na planie zbliżonym do prostokąta o pow. 8,7h ha. Kompozycja wnętrza oparta na głównej podłużnej alei, przerwanej w połowie długości rondem oraz 6 alejkach poprzecznych, które były prostopadłe do podłużnej, położone symetrycznie względem ronda stanowiącego centralny punkt kompozycji cmentarza. Zamknięty został w 1946, a 20 lat później przekształcony w park. </w:t>
      </w:r>
    </w:p>
    <w:p w:rsidR="002774D2" w:rsidRDefault="002774D2" w:rsidP="002774D2">
      <w:pPr>
        <w:pStyle w:val="Akapitzlist"/>
        <w:numPr>
          <w:ilvl w:val="0"/>
          <w:numId w:val="6"/>
        </w:numPr>
        <w:spacing w:after="0" w:line="259" w:lineRule="auto"/>
        <w:ind w:left="426" w:firstLine="0"/>
        <w:jc w:val="both"/>
        <w:rPr>
          <w:sz w:val="16"/>
          <w:szCs w:val="16"/>
        </w:rPr>
      </w:pPr>
      <w:r w:rsidRPr="00D55281">
        <w:rPr>
          <w:b/>
          <w:sz w:val="16"/>
          <w:szCs w:val="16"/>
        </w:rPr>
        <w:t>Cmentarz Luterański wrzeszczański</w:t>
      </w:r>
      <w:r>
        <w:rPr>
          <w:sz w:val="16"/>
          <w:szCs w:val="16"/>
        </w:rPr>
        <w:t xml:space="preserve"> (</w:t>
      </w:r>
      <w:proofErr w:type="spellStart"/>
      <w:r>
        <w:rPr>
          <w:sz w:val="16"/>
          <w:szCs w:val="16"/>
        </w:rPr>
        <w:t>KirchhofLangfuhr</w:t>
      </w:r>
      <w:proofErr w:type="spellEnd"/>
      <w:r>
        <w:rPr>
          <w:sz w:val="16"/>
          <w:szCs w:val="16"/>
        </w:rPr>
        <w:t xml:space="preserve">) </w:t>
      </w:r>
    </w:p>
    <w:p w:rsidR="002774D2" w:rsidRDefault="002774D2" w:rsidP="002774D2">
      <w:pPr>
        <w:spacing w:after="0"/>
        <w:ind w:left="426"/>
        <w:jc w:val="both"/>
        <w:rPr>
          <w:sz w:val="16"/>
          <w:szCs w:val="16"/>
        </w:rPr>
      </w:pPr>
      <w:r>
        <w:rPr>
          <w:sz w:val="16"/>
          <w:szCs w:val="16"/>
        </w:rPr>
        <w:t>Założony w II poł. XX wieku, położony po północno-wschodniej stronie Wielkiej Alei, oddzielony od niej placem ćwiczeń, obecnie ul. Towarową, biegnącą wzdłuż południowo-zachodniej krawędzi działki. Kompozycja Wnętrza oparta była na 2 przecinających się pod kątem prostym alejach, dzielących założenie na 4 symetryczne kwatery. W początku XX wieku obszar częściowo wchłonięty przez kolej, zamknięty został w 1946 roku, obecnie prawie w całości zabudowany.</w:t>
      </w:r>
    </w:p>
    <w:p w:rsidR="002774D2" w:rsidRPr="002774D2" w:rsidRDefault="002774D2" w:rsidP="002774D2">
      <w:pPr>
        <w:spacing w:after="0"/>
        <w:ind w:left="426"/>
        <w:jc w:val="both"/>
        <w:rPr>
          <w:sz w:val="16"/>
          <w:szCs w:val="16"/>
        </w:rPr>
      </w:pPr>
    </w:p>
    <w:p w:rsidR="002774D2" w:rsidRDefault="002774D2" w:rsidP="002774D2">
      <w:pPr>
        <w:ind w:left="426"/>
        <w:rPr>
          <w:b/>
        </w:rPr>
      </w:pPr>
      <w:r w:rsidRPr="00F046DE">
        <w:rPr>
          <w:b/>
        </w:rPr>
        <w:t>Wojskow</w:t>
      </w:r>
      <w:r>
        <w:rPr>
          <w:b/>
        </w:rPr>
        <w:t>y</w:t>
      </w:r>
      <w:r w:rsidRPr="00F046DE">
        <w:rPr>
          <w:b/>
        </w:rPr>
        <w:t xml:space="preserve"> plac</w:t>
      </w:r>
      <w:r>
        <w:rPr>
          <w:b/>
        </w:rPr>
        <w:t xml:space="preserve"> </w:t>
      </w:r>
      <w:r w:rsidRPr="00F046DE">
        <w:rPr>
          <w:b/>
        </w:rPr>
        <w:t>ćwiczeń</w:t>
      </w:r>
    </w:p>
    <w:p w:rsidR="002774D2" w:rsidRDefault="002774D2" w:rsidP="002058B5">
      <w:pPr>
        <w:ind w:left="426" w:firstLine="282"/>
        <w:jc w:val="both"/>
      </w:pPr>
      <w:r>
        <w:t xml:space="preserve">W latach 1815-1920 na terenie Gdańska stacjonowały jednostki piechoty, kawalerii i artylerii. Wchodziły w skład garnizonu miejskiego, liczącego 8-11 tys. Żołnierzy i oficerów. Po </w:t>
      </w:r>
      <w:r w:rsidR="002058B5">
        <w:lastRenderedPageBreak/>
        <w:t>d</w:t>
      </w:r>
      <w:r>
        <w:t>emilitaryzacji II Wolnego Miasta Gdańsk stał się ponownie miastem garnizonowym (w latach 1939-1945).</w:t>
      </w:r>
    </w:p>
    <w:p w:rsidR="002774D2" w:rsidRDefault="002774D2" w:rsidP="002058B5">
      <w:pPr>
        <w:ind w:left="426" w:firstLine="282"/>
        <w:jc w:val="both"/>
      </w:pPr>
      <w:r>
        <w:t xml:space="preserve">Po wschodniej stronie Wielkiej Alei, w sąsiedztwie Cmentarza Zespolonego p.w. Św. Bartłomieja, Św. Jana, Św. Piotra i Pawła oraz Cmentarza Luterańskiego znajdował się plac ćwiczeń  (Kleiner </w:t>
      </w:r>
      <w:proofErr w:type="spellStart"/>
      <w:r>
        <w:t>Exerzierplatz</w:t>
      </w:r>
      <w:proofErr w:type="spellEnd"/>
      <w:r>
        <w:t xml:space="preserve">). Teren został wydzierżawiony w 1818 roku przez władze pruskie, </w:t>
      </w:r>
      <w:r w:rsidR="002058B5">
        <w:br/>
      </w:r>
      <w:r>
        <w:t xml:space="preserve">a następnie wykupiony na potrzeby wojska. Zajmował 8,2 ha, na planie prostokąta o wymiarach 550x150 m. Znajdowała się na nim polowa </w:t>
      </w:r>
      <w:proofErr w:type="spellStart"/>
      <w:r>
        <w:t>ujeżdzalnia</w:t>
      </w:r>
      <w:proofErr w:type="spellEnd"/>
      <w:r>
        <w:t xml:space="preserve">, częściowo kryta wiatą, przeznaczona do treningu koni wojskowych z 1 pułku huzarów (znajdująca się na terenie obecnej Opery Bałtyckiej). </w:t>
      </w:r>
    </w:p>
    <w:p w:rsidR="002774D2" w:rsidRDefault="002774D2" w:rsidP="00777C4D">
      <w:pPr>
        <w:pStyle w:val="Akapitzlist"/>
        <w:ind w:left="426"/>
        <w:rPr>
          <w:b/>
        </w:rPr>
      </w:pPr>
    </w:p>
    <w:p w:rsidR="00777C4D" w:rsidRDefault="00777C4D" w:rsidP="00777C4D">
      <w:pPr>
        <w:pStyle w:val="Akapitzlist"/>
        <w:numPr>
          <w:ilvl w:val="0"/>
          <w:numId w:val="3"/>
        </w:numPr>
        <w:ind w:left="426" w:hanging="426"/>
        <w:rPr>
          <w:b/>
        </w:rPr>
      </w:pPr>
      <w:r>
        <w:rPr>
          <w:b/>
        </w:rPr>
        <w:t>UWARUNKOWANIA KOMUNIKACYJNE</w:t>
      </w:r>
    </w:p>
    <w:p w:rsidR="002774D2" w:rsidRDefault="006E34C0" w:rsidP="002058B5">
      <w:pPr>
        <w:spacing w:line="240" w:lineRule="auto"/>
        <w:ind w:left="425" w:firstLine="284"/>
        <w:jc w:val="both"/>
      </w:pPr>
      <w:r w:rsidRPr="00EA3FBF">
        <w:t>Przedmiotowy teren zlokalizowany jest w bezpośrednim sąsiedztwie al. Zwycięstwa stanowiącej jeden z głównych ciągów komunikacyjnych łączącej Trójmiasto</w:t>
      </w:r>
      <w:r w:rsidR="00064251">
        <w:t>.</w:t>
      </w:r>
      <w:r w:rsidR="002774D2" w:rsidRPr="002774D2">
        <w:t xml:space="preserve"> </w:t>
      </w:r>
      <w:r w:rsidR="002774D2">
        <w:t xml:space="preserve">Aleja składa się z dwóch trzypasmowych jezdni, Traktu Konnego (jednokierunkowej, dwupasmowej jezdni) oraz linii tramwajowej w jej środku. Towarzyszą jej także ciągi piesze i rowerowe. </w:t>
      </w:r>
    </w:p>
    <w:p w:rsidR="00AC6892" w:rsidRDefault="006E34C0" w:rsidP="002058B5">
      <w:pPr>
        <w:spacing w:line="240" w:lineRule="auto"/>
        <w:ind w:left="425" w:firstLine="284"/>
        <w:jc w:val="both"/>
      </w:pPr>
      <w:r w:rsidRPr="00EA3FBF">
        <w:t>Od strony al. Zwycięstwa przewidziano główny wjazd na teren przeznaczony dl</w:t>
      </w:r>
      <w:r w:rsidR="00EA3FBF" w:rsidRPr="00EA3FBF">
        <w:t xml:space="preserve">a użytkowników obiektu. Obecnie w pasie drogowym wzdłuż przedmiotowego terenu istnieje </w:t>
      </w:r>
      <w:r w:rsidRPr="00EA3FBF">
        <w:t xml:space="preserve"> </w:t>
      </w:r>
      <w:r w:rsidR="00EA3FBF" w:rsidRPr="00EA3FBF">
        <w:t xml:space="preserve">pas wyłączeniowy obsługujący zjazd na stację benzynową oraz do </w:t>
      </w:r>
      <w:r w:rsidR="00AC6892">
        <w:t>budynku usługowo biurowego. Projektując zjazd należy uwzględnić fakt iż drzewa zlokalizowane wzdłuż alei stanowią szpaler chroniony prawem, co wyklucza możliwość wycinek.</w:t>
      </w:r>
    </w:p>
    <w:p w:rsidR="006E34C0" w:rsidRPr="00EA3FBF" w:rsidRDefault="00AC6892" w:rsidP="002058B5">
      <w:pPr>
        <w:pStyle w:val="Akapitzlist"/>
        <w:spacing w:line="240" w:lineRule="auto"/>
        <w:ind w:left="425" w:firstLine="284"/>
        <w:jc w:val="both"/>
      </w:pPr>
      <w:r>
        <w:t xml:space="preserve">Od strony północnej  przedmiotowy teren przylega do drogi wewnętrznej CSA która stanowi przedłużenie ul. Towarowej </w:t>
      </w:r>
      <w:r w:rsidR="002774D2">
        <w:t xml:space="preserve">(w statusie drogi gminnej). Należy zachować dojazd do budynków CSA. </w:t>
      </w:r>
    </w:p>
    <w:p w:rsidR="00777C4D" w:rsidRPr="00777C4D" w:rsidRDefault="00777C4D" w:rsidP="00777C4D">
      <w:pPr>
        <w:pStyle w:val="Akapitzlist"/>
        <w:ind w:left="426"/>
        <w:rPr>
          <w:b/>
        </w:rPr>
      </w:pPr>
    </w:p>
    <w:p w:rsidR="00601813" w:rsidRDefault="00601813" w:rsidP="00730F14">
      <w:pPr>
        <w:ind w:left="360"/>
        <w:jc w:val="both"/>
      </w:pPr>
    </w:p>
    <w:sectPr w:rsidR="00601813" w:rsidSect="00A71A22">
      <w:headerReference w:type="default" r:id="rId9"/>
      <w:footerReference w:type="default" r:id="rId10"/>
      <w:pgSz w:w="11906" w:h="16838"/>
      <w:pgMar w:top="1560" w:right="1274" w:bottom="1276" w:left="1418" w:header="142"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E7030" w:rsidRDefault="00FE7030" w:rsidP="00A66700">
      <w:pPr>
        <w:spacing w:after="0" w:line="240" w:lineRule="auto"/>
      </w:pPr>
      <w:r>
        <w:separator/>
      </w:r>
    </w:p>
  </w:endnote>
  <w:endnote w:type="continuationSeparator" w:id="0">
    <w:p w:rsidR="00FE7030" w:rsidRDefault="00FE7030" w:rsidP="00A667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438796892"/>
      <w:docPartObj>
        <w:docPartGallery w:val="Page Numbers (Bottom of Page)"/>
        <w:docPartUnique/>
      </w:docPartObj>
    </w:sdtPr>
    <w:sdtEndPr/>
    <w:sdtContent>
      <w:p w:rsidR="00B456E6" w:rsidRDefault="00B456E6">
        <w:pPr>
          <w:pStyle w:val="Stopka"/>
          <w:jc w:val="center"/>
        </w:pPr>
        <w:r>
          <w:rPr>
            <w:noProof/>
          </w:rPr>
          <w:fldChar w:fldCharType="begin"/>
        </w:r>
        <w:r>
          <w:rPr>
            <w:noProof/>
          </w:rPr>
          <w:instrText xml:space="preserve"> PAGE   \* MERGEFORMAT </w:instrText>
        </w:r>
        <w:r>
          <w:rPr>
            <w:noProof/>
          </w:rPr>
          <w:fldChar w:fldCharType="separate"/>
        </w:r>
        <w:r w:rsidR="00F47B00">
          <w:rPr>
            <w:noProof/>
          </w:rPr>
          <w:t>2</w:t>
        </w:r>
        <w:r>
          <w:rPr>
            <w:noProof/>
          </w:rPr>
          <w:fldChar w:fldCharType="end"/>
        </w:r>
      </w:p>
    </w:sdtContent>
  </w:sdt>
  <w:p w:rsidR="00B456E6" w:rsidRDefault="00B456E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E7030" w:rsidRDefault="00FE7030" w:rsidP="00A66700">
      <w:pPr>
        <w:spacing w:after="0" w:line="240" w:lineRule="auto"/>
      </w:pPr>
      <w:r>
        <w:separator/>
      </w:r>
    </w:p>
  </w:footnote>
  <w:footnote w:type="continuationSeparator" w:id="0">
    <w:p w:rsidR="00FE7030" w:rsidRDefault="00FE7030" w:rsidP="00A6670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456E6" w:rsidRDefault="00B456E6" w:rsidP="00BF53C8">
    <w:pPr>
      <w:pStyle w:val="Nagwek"/>
      <w:ind w:hanging="426"/>
    </w:pPr>
  </w:p>
  <w:tbl>
    <w:tblPr>
      <w:tblStyle w:val="Tabela-Siatka"/>
      <w:tblW w:w="9498"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26"/>
      <w:gridCol w:w="6972"/>
    </w:tblGrid>
    <w:tr w:rsidR="00B456E6" w:rsidRPr="00FF3DFF" w:rsidTr="00A71A22">
      <w:tc>
        <w:tcPr>
          <w:tcW w:w="2526" w:type="dxa"/>
        </w:tcPr>
        <w:p w:rsidR="00B456E6" w:rsidRDefault="00B456E6" w:rsidP="00BF53C8">
          <w:pPr>
            <w:pStyle w:val="Nagwek"/>
          </w:pPr>
          <w:r>
            <w:rPr>
              <w:noProof/>
              <w:lang w:eastAsia="pl-PL"/>
            </w:rPr>
            <w:drawing>
              <wp:inline distT="0" distB="0" distL="0" distR="0">
                <wp:extent cx="1466850" cy="1040557"/>
                <wp:effectExtent l="0" t="0" r="0" b="7620"/>
                <wp:docPr id="18" name="Obraz 18" descr="https://pg.edu.pl/documents/10607/18545618/pg_logo_kolor.jpg?t=1383222176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pg.edu.pl/documents/10607/18545618/pg_logo_kolor.jpg?t=138322217643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9139" cy="1049275"/>
                        </a:xfrm>
                        <a:prstGeom prst="rect">
                          <a:avLst/>
                        </a:prstGeom>
                        <a:noFill/>
                        <a:ln>
                          <a:noFill/>
                        </a:ln>
                      </pic:spPr>
                    </pic:pic>
                  </a:graphicData>
                </a:graphic>
              </wp:inline>
            </w:drawing>
          </w:r>
        </w:p>
      </w:tc>
      <w:tc>
        <w:tcPr>
          <w:tcW w:w="6972" w:type="dxa"/>
          <w:shd w:val="clear" w:color="auto" w:fill="auto"/>
        </w:tcPr>
        <w:p w:rsidR="00B456E6" w:rsidRPr="00FF3DFF" w:rsidRDefault="00B456E6" w:rsidP="002058B5">
          <w:pPr>
            <w:pStyle w:val="Nagwek"/>
            <w:jc w:val="both"/>
            <w:rPr>
              <w:color w:val="1F497D" w:themeColor="text2"/>
            </w:rPr>
          </w:pPr>
        </w:p>
        <w:p w:rsidR="00B456E6" w:rsidRPr="00FF3DFF" w:rsidRDefault="00B456E6" w:rsidP="002058B5">
          <w:pPr>
            <w:pStyle w:val="Nagwek"/>
            <w:jc w:val="both"/>
            <w:rPr>
              <w:color w:val="1F497D" w:themeColor="text2"/>
            </w:rPr>
          </w:pPr>
          <w:r w:rsidRPr="00FF3DFF">
            <w:rPr>
              <w:color w:val="1F497D" w:themeColor="text2"/>
            </w:rPr>
            <w:t>Konkurs na opracowanie koncepcji architektoniczno  – urbanistycznej obiekt</w:t>
          </w:r>
          <w:r>
            <w:rPr>
              <w:color w:val="1F497D" w:themeColor="text2"/>
            </w:rPr>
            <w:t>u</w:t>
          </w:r>
          <w:r w:rsidRPr="00FF3DFF">
            <w:rPr>
              <w:color w:val="1F497D" w:themeColor="text2"/>
            </w:rPr>
            <w:t xml:space="preserve"> wielofunkcyjnego z funkcją</w:t>
          </w:r>
          <w:r>
            <w:rPr>
              <w:color w:val="1F497D" w:themeColor="text2"/>
            </w:rPr>
            <w:t xml:space="preserve"> </w:t>
          </w:r>
          <w:r w:rsidRPr="00FF3DFF">
            <w:rPr>
              <w:color w:val="1F497D" w:themeColor="text2"/>
            </w:rPr>
            <w:t>hali widowiskowo sportowej   oraz centrum kongresowego</w:t>
          </w:r>
          <w:r>
            <w:rPr>
              <w:color w:val="1F497D" w:themeColor="text2"/>
            </w:rPr>
            <w:t>,</w:t>
          </w:r>
          <w:r w:rsidRPr="00FF3DFF">
            <w:rPr>
              <w:color w:val="1F497D" w:themeColor="text2"/>
            </w:rPr>
            <w:t xml:space="preserve"> zlokalizowanego na terenie </w:t>
          </w:r>
          <w:r>
            <w:rPr>
              <w:color w:val="1F497D" w:themeColor="text2"/>
            </w:rPr>
            <w:t>C</w:t>
          </w:r>
          <w:r w:rsidRPr="00FF3DFF">
            <w:rPr>
              <w:color w:val="1F497D" w:themeColor="text2"/>
            </w:rPr>
            <w:t xml:space="preserve">entrum </w:t>
          </w:r>
          <w:r>
            <w:rPr>
              <w:color w:val="1F497D" w:themeColor="text2"/>
            </w:rPr>
            <w:t>S</w:t>
          </w:r>
          <w:r w:rsidRPr="00FF3DFF">
            <w:rPr>
              <w:color w:val="1F497D" w:themeColor="text2"/>
            </w:rPr>
            <w:t xml:space="preserve">portu </w:t>
          </w:r>
          <w:r>
            <w:rPr>
              <w:color w:val="1F497D" w:themeColor="text2"/>
            </w:rPr>
            <w:t xml:space="preserve">  A</w:t>
          </w:r>
          <w:r w:rsidRPr="00FF3DFF">
            <w:rPr>
              <w:color w:val="1F497D" w:themeColor="text2"/>
            </w:rPr>
            <w:t xml:space="preserve">kademickiego </w:t>
          </w:r>
          <w:r>
            <w:rPr>
              <w:color w:val="1F497D" w:themeColor="text2"/>
            </w:rPr>
            <w:t>P</w:t>
          </w:r>
          <w:r w:rsidRPr="00FF3DFF">
            <w:rPr>
              <w:color w:val="1F497D" w:themeColor="text2"/>
            </w:rPr>
            <w:t xml:space="preserve">olitechniki </w:t>
          </w:r>
          <w:r>
            <w:rPr>
              <w:color w:val="1F497D" w:themeColor="text2"/>
            </w:rPr>
            <w:t>G</w:t>
          </w:r>
          <w:r w:rsidRPr="00FF3DFF">
            <w:rPr>
              <w:color w:val="1F497D" w:themeColor="text2"/>
            </w:rPr>
            <w:t>dańskiej</w:t>
          </w:r>
          <w:r>
            <w:rPr>
              <w:color w:val="1F497D" w:themeColor="text2"/>
            </w:rPr>
            <w:t xml:space="preserve"> przy A</w:t>
          </w:r>
          <w:r w:rsidRPr="00FF3DFF">
            <w:rPr>
              <w:color w:val="1F497D" w:themeColor="text2"/>
            </w:rPr>
            <w:t>le</w:t>
          </w:r>
          <w:r>
            <w:rPr>
              <w:color w:val="1F497D" w:themeColor="text2"/>
            </w:rPr>
            <w:t>i Z</w:t>
          </w:r>
          <w:r w:rsidRPr="00FF3DFF">
            <w:rPr>
              <w:color w:val="1F497D" w:themeColor="text2"/>
            </w:rPr>
            <w:t>wycięstwa 12</w:t>
          </w:r>
          <w:r>
            <w:rPr>
              <w:color w:val="1F497D" w:themeColor="text2"/>
            </w:rPr>
            <w:t xml:space="preserve"> </w:t>
          </w:r>
          <w:r w:rsidRPr="00FF3DFF">
            <w:rPr>
              <w:color w:val="1F497D" w:themeColor="text2"/>
            </w:rPr>
            <w:t xml:space="preserve"> w </w:t>
          </w:r>
          <w:r>
            <w:rPr>
              <w:color w:val="1F497D" w:themeColor="text2"/>
            </w:rPr>
            <w:t>G</w:t>
          </w:r>
          <w:r w:rsidRPr="00FF3DFF">
            <w:rPr>
              <w:color w:val="1F497D" w:themeColor="text2"/>
            </w:rPr>
            <w:t>dańsku</w:t>
          </w:r>
        </w:p>
      </w:tc>
    </w:tr>
  </w:tbl>
  <w:p w:rsidR="00B456E6" w:rsidRDefault="00B456E6" w:rsidP="00BF53C8">
    <w:pPr>
      <w:pStyle w:val="Nagwek"/>
      <w:ind w:hanging="42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490121"/>
    <w:multiLevelType w:val="hybridMultilevel"/>
    <w:tmpl w:val="2BFE11C0"/>
    <w:lvl w:ilvl="0" w:tplc="0415000F">
      <w:start w:val="1"/>
      <w:numFmt w:val="decimal"/>
      <w:lvlText w:val="%1."/>
      <w:lvlJc w:val="left"/>
      <w:pPr>
        <w:ind w:left="785" w:hanging="360"/>
      </w:pPr>
      <w:rPr>
        <w:rFonts w:hint="default"/>
      </w:rPr>
    </w:lvl>
    <w:lvl w:ilvl="1" w:tplc="04150019" w:tentative="1">
      <w:start w:val="1"/>
      <w:numFmt w:val="lowerLetter"/>
      <w:lvlText w:val="%2."/>
      <w:lvlJc w:val="left"/>
      <w:pPr>
        <w:ind w:left="1505" w:hanging="360"/>
      </w:pPr>
    </w:lvl>
    <w:lvl w:ilvl="2" w:tplc="0415001B" w:tentative="1">
      <w:start w:val="1"/>
      <w:numFmt w:val="lowerRoman"/>
      <w:lvlText w:val="%3."/>
      <w:lvlJc w:val="right"/>
      <w:pPr>
        <w:ind w:left="2225" w:hanging="180"/>
      </w:pPr>
    </w:lvl>
    <w:lvl w:ilvl="3" w:tplc="0415000F" w:tentative="1">
      <w:start w:val="1"/>
      <w:numFmt w:val="decimal"/>
      <w:lvlText w:val="%4."/>
      <w:lvlJc w:val="left"/>
      <w:pPr>
        <w:ind w:left="2945" w:hanging="360"/>
      </w:pPr>
    </w:lvl>
    <w:lvl w:ilvl="4" w:tplc="04150019" w:tentative="1">
      <w:start w:val="1"/>
      <w:numFmt w:val="lowerLetter"/>
      <w:lvlText w:val="%5."/>
      <w:lvlJc w:val="left"/>
      <w:pPr>
        <w:ind w:left="3665" w:hanging="360"/>
      </w:pPr>
    </w:lvl>
    <w:lvl w:ilvl="5" w:tplc="0415001B" w:tentative="1">
      <w:start w:val="1"/>
      <w:numFmt w:val="lowerRoman"/>
      <w:lvlText w:val="%6."/>
      <w:lvlJc w:val="right"/>
      <w:pPr>
        <w:ind w:left="4385" w:hanging="180"/>
      </w:pPr>
    </w:lvl>
    <w:lvl w:ilvl="6" w:tplc="0415000F" w:tentative="1">
      <w:start w:val="1"/>
      <w:numFmt w:val="decimal"/>
      <w:lvlText w:val="%7."/>
      <w:lvlJc w:val="left"/>
      <w:pPr>
        <w:ind w:left="5105" w:hanging="360"/>
      </w:pPr>
    </w:lvl>
    <w:lvl w:ilvl="7" w:tplc="04150019" w:tentative="1">
      <w:start w:val="1"/>
      <w:numFmt w:val="lowerLetter"/>
      <w:lvlText w:val="%8."/>
      <w:lvlJc w:val="left"/>
      <w:pPr>
        <w:ind w:left="5825" w:hanging="360"/>
      </w:pPr>
    </w:lvl>
    <w:lvl w:ilvl="8" w:tplc="0415001B" w:tentative="1">
      <w:start w:val="1"/>
      <w:numFmt w:val="lowerRoman"/>
      <w:lvlText w:val="%9."/>
      <w:lvlJc w:val="right"/>
      <w:pPr>
        <w:ind w:left="6545" w:hanging="180"/>
      </w:pPr>
    </w:lvl>
  </w:abstractNum>
  <w:abstractNum w:abstractNumId="1" w15:restartNumberingAfterBreak="0">
    <w:nsid w:val="1E6B2A4D"/>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34961D8A"/>
    <w:multiLevelType w:val="hybridMultilevel"/>
    <w:tmpl w:val="1EAE523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52AE337A"/>
    <w:multiLevelType w:val="multilevel"/>
    <w:tmpl w:val="0415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54D777D0"/>
    <w:multiLevelType w:val="hybridMultilevel"/>
    <w:tmpl w:val="6A84CA58"/>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5" w15:restartNumberingAfterBreak="0">
    <w:nsid w:val="774F55E8"/>
    <w:multiLevelType w:val="hybridMultilevel"/>
    <w:tmpl w:val="E6EEE95A"/>
    <w:lvl w:ilvl="0" w:tplc="0415000F">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num w:numId="1">
    <w:abstractNumId w:val="1"/>
  </w:num>
  <w:num w:numId="2">
    <w:abstractNumId w:val="2"/>
  </w:num>
  <w:num w:numId="3">
    <w:abstractNumId w:val="3"/>
  </w:num>
  <w:num w:numId="4">
    <w:abstractNumId w:val="4"/>
  </w:num>
  <w:num w:numId="5">
    <w:abstractNumId w:val="5"/>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B2E47"/>
    <w:rsid w:val="00003ADC"/>
    <w:rsid w:val="00025DFC"/>
    <w:rsid w:val="00064251"/>
    <w:rsid w:val="00075B7E"/>
    <w:rsid w:val="00092375"/>
    <w:rsid w:val="000B50BD"/>
    <w:rsid w:val="000C359D"/>
    <w:rsid w:val="000D18FB"/>
    <w:rsid w:val="000D2F98"/>
    <w:rsid w:val="000E1DB4"/>
    <w:rsid w:val="000F7156"/>
    <w:rsid w:val="0015058B"/>
    <w:rsid w:val="00150B02"/>
    <w:rsid w:val="00150DBE"/>
    <w:rsid w:val="00162058"/>
    <w:rsid w:val="00165B21"/>
    <w:rsid w:val="00184015"/>
    <w:rsid w:val="001864E1"/>
    <w:rsid w:val="00187D35"/>
    <w:rsid w:val="001B3AA0"/>
    <w:rsid w:val="001C04F1"/>
    <w:rsid w:val="002058B5"/>
    <w:rsid w:val="00215D69"/>
    <w:rsid w:val="00216282"/>
    <w:rsid w:val="00222613"/>
    <w:rsid w:val="00233DA6"/>
    <w:rsid w:val="00240651"/>
    <w:rsid w:val="002429A7"/>
    <w:rsid w:val="0025545B"/>
    <w:rsid w:val="00264F7D"/>
    <w:rsid w:val="002774D2"/>
    <w:rsid w:val="002864BE"/>
    <w:rsid w:val="002921B1"/>
    <w:rsid w:val="00295A92"/>
    <w:rsid w:val="00296943"/>
    <w:rsid w:val="002C072E"/>
    <w:rsid w:val="002F182F"/>
    <w:rsid w:val="00325B48"/>
    <w:rsid w:val="0032674A"/>
    <w:rsid w:val="00330BA1"/>
    <w:rsid w:val="00353E9B"/>
    <w:rsid w:val="00362A16"/>
    <w:rsid w:val="00370C20"/>
    <w:rsid w:val="0038599E"/>
    <w:rsid w:val="003B2E47"/>
    <w:rsid w:val="003D5740"/>
    <w:rsid w:val="003E4C2D"/>
    <w:rsid w:val="00410E86"/>
    <w:rsid w:val="00412703"/>
    <w:rsid w:val="004163D6"/>
    <w:rsid w:val="0043485A"/>
    <w:rsid w:val="00442E97"/>
    <w:rsid w:val="004535DC"/>
    <w:rsid w:val="0045372F"/>
    <w:rsid w:val="004569B2"/>
    <w:rsid w:val="00481D72"/>
    <w:rsid w:val="004A324E"/>
    <w:rsid w:val="004A57AA"/>
    <w:rsid w:val="004C1833"/>
    <w:rsid w:val="004E2D55"/>
    <w:rsid w:val="004F05E2"/>
    <w:rsid w:val="004F7FA5"/>
    <w:rsid w:val="0056363E"/>
    <w:rsid w:val="005672B7"/>
    <w:rsid w:val="00567B42"/>
    <w:rsid w:val="005B4F23"/>
    <w:rsid w:val="005C0EEE"/>
    <w:rsid w:val="005F4ADF"/>
    <w:rsid w:val="00601813"/>
    <w:rsid w:val="00607D7C"/>
    <w:rsid w:val="00622E66"/>
    <w:rsid w:val="0066542E"/>
    <w:rsid w:val="006869E9"/>
    <w:rsid w:val="00697E58"/>
    <w:rsid w:val="006C0350"/>
    <w:rsid w:val="006D1708"/>
    <w:rsid w:val="006D7E20"/>
    <w:rsid w:val="006E34C0"/>
    <w:rsid w:val="00705438"/>
    <w:rsid w:val="00705706"/>
    <w:rsid w:val="00721D19"/>
    <w:rsid w:val="00730F14"/>
    <w:rsid w:val="00741E74"/>
    <w:rsid w:val="00744A19"/>
    <w:rsid w:val="0074544B"/>
    <w:rsid w:val="007600A4"/>
    <w:rsid w:val="007700DF"/>
    <w:rsid w:val="00777C4D"/>
    <w:rsid w:val="00785637"/>
    <w:rsid w:val="007C0CDE"/>
    <w:rsid w:val="007D5436"/>
    <w:rsid w:val="007F070B"/>
    <w:rsid w:val="00812D86"/>
    <w:rsid w:val="00834C0C"/>
    <w:rsid w:val="00837F5A"/>
    <w:rsid w:val="00842806"/>
    <w:rsid w:val="0085710C"/>
    <w:rsid w:val="0085754F"/>
    <w:rsid w:val="0086635E"/>
    <w:rsid w:val="008933A9"/>
    <w:rsid w:val="008964F7"/>
    <w:rsid w:val="008A7B94"/>
    <w:rsid w:val="008A7E69"/>
    <w:rsid w:val="008B3E2A"/>
    <w:rsid w:val="008C0456"/>
    <w:rsid w:val="008C77DB"/>
    <w:rsid w:val="008D77CA"/>
    <w:rsid w:val="008F588C"/>
    <w:rsid w:val="008F66AE"/>
    <w:rsid w:val="008F7ACD"/>
    <w:rsid w:val="00900D75"/>
    <w:rsid w:val="00907C88"/>
    <w:rsid w:val="0092421F"/>
    <w:rsid w:val="00943D11"/>
    <w:rsid w:val="00974A92"/>
    <w:rsid w:val="009A1F87"/>
    <w:rsid w:val="009A2033"/>
    <w:rsid w:val="009A5567"/>
    <w:rsid w:val="009B47EF"/>
    <w:rsid w:val="009B6CB0"/>
    <w:rsid w:val="009C0BFD"/>
    <w:rsid w:val="009C2201"/>
    <w:rsid w:val="009D5098"/>
    <w:rsid w:val="009E1440"/>
    <w:rsid w:val="009E5006"/>
    <w:rsid w:val="009F0473"/>
    <w:rsid w:val="009F6151"/>
    <w:rsid w:val="00A04D56"/>
    <w:rsid w:val="00A209A5"/>
    <w:rsid w:val="00A62B2F"/>
    <w:rsid w:val="00A64E69"/>
    <w:rsid w:val="00A66700"/>
    <w:rsid w:val="00A6705D"/>
    <w:rsid w:val="00A70D21"/>
    <w:rsid w:val="00A71A22"/>
    <w:rsid w:val="00A73256"/>
    <w:rsid w:val="00A81D0D"/>
    <w:rsid w:val="00A83592"/>
    <w:rsid w:val="00A9017F"/>
    <w:rsid w:val="00AA69F5"/>
    <w:rsid w:val="00AC2BCB"/>
    <w:rsid w:val="00AC6892"/>
    <w:rsid w:val="00AD6C67"/>
    <w:rsid w:val="00AE0BA3"/>
    <w:rsid w:val="00AE786B"/>
    <w:rsid w:val="00B0536A"/>
    <w:rsid w:val="00B14112"/>
    <w:rsid w:val="00B3748A"/>
    <w:rsid w:val="00B456E6"/>
    <w:rsid w:val="00B771FD"/>
    <w:rsid w:val="00B8184B"/>
    <w:rsid w:val="00B82E90"/>
    <w:rsid w:val="00BB7FC7"/>
    <w:rsid w:val="00BF514F"/>
    <w:rsid w:val="00BF53C8"/>
    <w:rsid w:val="00C16157"/>
    <w:rsid w:val="00C25599"/>
    <w:rsid w:val="00C33F9D"/>
    <w:rsid w:val="00C42504"/>
    <w:rsid w:val="00C67E75"/>
    <w:rsid w:val="00C823FB"/>
    <w:rsid w:val="00CB5D7F"/>
    <w:rsid w:val="00CD1A52"/>
    <w:rsid w:val="00CF1CED"/>
    <w:rsid w:val="00D106C2"/>
    <w:rsid w:val="00D20006"/>
    <w:rsid w:val="00D44150"/>
    <w:rsid w:val="00D5277B"/>
    <w:rsid w:val="00D71D3B"/>
    <w:rsid w:val="00D872E0"/>
    <w:rsid w:val="00DA16AB"/>
    <w:rsid w:val="00DA527D"/>
    <w:rsid w:val="00DC2B85"/>
    <w:rsid w:val="00E16439"/>
    <w:rsid w:val="00E271B7"/>
    <w:rsid w:val="00E27628"/>
    <w:rsid w:val="00E50773"/>
    <w:rsid w:val="00E6779A"/>
    <w:rsid w:val="00E7077B"/>
    <w:rsid w:val="00E927FA"/>
    <w:rsid w:val="00EA3CF0"/>
    <w:rsid w:val="00EA3FBF"/>
    <w:rsid w:val="00F00FA1"/>
    <w:rsid w:val="00F02F90"/>
    <w:rsid w:val="00F34DB1"/>
    <w:rsid w:val="00F368A9"/>
    <w:rsid w:val="00F44215"/>
    <w:rsid w:val="00F4593F"/>
    <w:rsid w:val="00F47B00"/>
    <w:rsid w:val="00F510C8"/>
    <w:rsid w:val="00F55557"/>
    <w:rsid w:val="00F72DDA"/>
    <w:rsid w:val="00F80FE6"/>
    <w:rsid w:val="00F92ABA"/>
    <w:rsid w:val="00FB398C"/>
    <w:rsid w:val="00FE3C86"/>
    <w:rsid w:val="00FE7030"/>
    <w:rsid w:val="00FF3DFF"/>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7AB43F6"/>
  <w15:docId w15:val="{EC8E42D6-4A96-44A2-BF08-67C6A97CC6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7C0CDE"/>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uiPriority w:val="34"/>
    <w:qFormat/>
    <w:rsid w:val="000E1DB4"/>
    <w:pPr>
      <w:ind w:left="720"/>
      <w:contextualSpacing/>
    </w:pPr>
  </w:style>
  <w:style w:type="paragraph" w:styleId="Nagwek">
    <w:name w:val="header"/>
    <w:basedOn w:val="Normalny"/>
    <w:link w:val="NagwekZnak"/>
    <w:uiPriority w:val="99"/>
    <w:unhideWhenUsed/>
    <w:rsid w:val="00A66700"/>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A66700"/>
  </w:style>
  <w:style w:type="paragraph" w:styleId="Stopka">
    <w:name w:val="footer"/>
    <w:basedOn w:val="Normalny"/>
    <w:link w:val="StopkaZnak"/>
    <w:uiPriority w:val="99"/>
    <w:unhideWhenUsed/>
    <w:rsid w:val="00A66700"/>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A66700"/>
  </w:style>
  <w:style w:type="paragraph" w:styleId="NormalnyWeb">
    <w:name w:val="Normal (Web)"/>
    <w:basedOn w:val="Normalny"/>
    <w:rsid w:val="00A66700"/>
    <w:pPr>
      <w:suppressAutoHyphens/>
      <w:spacing w:before="280" w:after="280" w:line="240" w:lineRule="auto"/>
    </w:pPr>
    <w:rPr>
      <w:rFonts w:ascii="Times New Roman" w:eastAsia="Times New Roman" w:hAnsi="Times New Roman" w:cs="Times New Roman"/>
      <w:sz w:val="24"/>
      <w:szCs w:val="24"/>
      <w:lang w:eastAsia="zh-CN"/>
    </w:rPr>
  </w:style>
  <w:style w:type="paragraph" w:styleId="Bezodstpw">
    <w:name w:val="No Spacing"/>
    <w:uiPriority w:val="1"/>
    <w:qFormat/>
    <w:rsid w:val="00296943"/>
    <w:pPr>
      <w:spacing w:after="0" w:line="240" w:lineRule="auto"/>
    </w:pPr>
    <w:rPr>
      <w:rFonts w:ascii="Calibri" w:eastAsia="Calibri" w:hAnsi="Calibri" w:cs="Times New Roman"/>
    </w:rPr>
  </w:style>
  <w:style w:type="table" w:styleId="Tabela-Siatka">
    <w:name w:val="Table Grid"/>
    <w:basedOn w:val="Standardowy"/>
    <w:uiPriority w:val="59"/>
    <w:unhideWhenUsed/>
    <w:rsid w:val="00BF53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66542E"/>
    <w:rPr>
      <w:sz w:val="16"/>
      <w:szCs w:val="16"/>
    </w:rPr>
  </w:style>
  <w:style w:type="paragraph" w:styleId="Tekstkomentarza">
    <w:name w:val="annotation text"/>
    <w:basedOn w:val="Normalny"/>
    <w:link w:val="TekstkomentarzaZnak"/>
    <w:uiPriority w:val="99"/>
    <w:semiHidden/>
    <w:unhideWhenUsed/>
    <w:rsid w:val="0066542E"/>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66542E"/>
    <w:rPr>
      <w:sz w:val="20"/>
      <w:szCs w:val="20"/>
    </w:rPr>
  </w:style>
  <w:style w:type="paragraph" w:styleId="Tematkomentarza">
    <w:name w:val="annotation subject"/>
    <w:basedOn w:val="Tekstkomentarza"/>
    <w:next w:val="Tekstkomentarza"/>
    <w:link w:val="TematkomentarzaZnak"/>
    <w:uiPriority w:val="99"/>
    <w:semiHidden/>
    <w:unhideWhenUsed/>
    <w:rsid w:val="0066542E"/>
    <w:rPr>
      <w:b/>
      <w:bCs/>
    </w:rPr>
  </w:style>
  <w:style w:type="character" w:customStyle="1" w:styleId="TematkomentarzaZnak">
    <w:name w:val="Temat komentarza Znak"/>
    <w:basedOn w:val="TekstkomentarzaZnak"/>
    <w:link w:val="Tematkomentarza"/>
    <w:uiPriority w:val="99"/>
    <w:semiHidden/>
    <w:rsid w:val="0066542E"/>
    <w:rPr>
      <w:b/>
      <w:bCs/>
      <w:sz w:val="20"/>
      <w:szCs w:val="20"/>
    </w:rPr>
  </w:style>
  <w:style w:type="paragraph" w:styleId="Tekstdymka">
    <w:name w:val="Balloon Text"/>
    <w:basedOn w:val="Normalny"/>
    <w:link w:val="TekstdymkaZnak"/>
    <w:uiPriority w:val="99"/>
    <w:semiHidden/>
    <w:unhideWhenUsed/>
    <w:rsid w:val="0066542E"/>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66542E"/>
    <w:rPr>
      <w:rFonts w:ascii="Segoe UI" w:hAnsi="Segoe UI" w:cs="Segoe UI"/>
      <w:sz w:val="18"/>
      <w:szCs w:val="18"/>
    </w:rPr>
  </w:style>
  <w:style w:type="paragraph" w:styleId="Tekstprzypisudolnego">
    <w:name w:val="footnote text"/>
    <w:basedOn w:val="Normalny"/>
    <w:link w:val="TekstprzypisudolnegoZnak"/>
    <w:uiPriority w:val="99"/>
    <w:semiHidden/>
    <w:unhideWhenUsed/>
    <w:rsid w:val="0066542E"/>
    <w:pPr>
      <w:spacing w:after="0" w:line="240" w:lineRule="auto"/>
    </w:pPr>
    <w:rPr>
      <w:sz w:val="20"/>
      <w:szCs w:val="20"/>
    </w:rPr>
  </w:style>
  <w:style w:type="character" w:customStyle="1" w:styleId="TekstprzypisudolnegoZnak">
    <w:name w:val="Tekst przypisu dolnego Znak"/>
    <w:basedOn w:val="Domylnaczcionkaakapitu"/>
    <w:link w:val="Tekstprzypisudolnego"/>
    <w:uiPriority w:val="99"/>
    <w:semiHidden/>
    <w:rsid w:val="0066542E"/>
    <w:rPr>
      <w:sz w:val="20"/>
      <w:szCs w:val="20"/>
    </w:rPr>
  </w:style>
  <w:style w:type="character" w:styleId="Odwoanieprzypisudolnego">
    <w:name w:val="footnote reference"/>
    <w:basedOn w:val="Domylnaczcionkaakapitu"/>
    <w:uiPriority w:val="99"/>
    <w:semiHidden/>
    <w:unhideWhenUsed/>
    <w:rsid w:val="0066542E"/>
    <w:rPr>
      <w:vertAlign w:val="superscript"/>
    </w:rPr>
  </w:style>
  <w:style w:type="paragraph" w:styleId="Tekstpodstawowy">
    <w:name w:val="Body Text"/>
    <w:basedOn w:val="Normalny"/>
    <w:link w:val="TekstpodstawowyZnak"/>
    <w:rsid w:val="00370C20"/>
    <w:pPr>
      <w:spacing w:after="0" w:line="240" w:lineRule="auto"/>
      <w:jc w:val="both"/>
    </w:pPr>
    <w:rPr>
      <w:rFonts w:ascii="Times New Roman" w:eastAsia="Times New Roman" w:hAnsi="Times New Roman" w:cs="Times New Roman"/>
      <w:sz w:val="24"/>
      <w:szCs w:val="24"/>
      <w:lang w:eastAsia="pl-PL"/>
    </w:rPr>
  </w:style>
  <w:style w:type="character" w:customStyle="1" w:styleId="TekstpodstawowyZnak">
    <w:name w:val="Tekst podstawowy Znak"/>
    <w:basedOn w:val="Domylnaczcionkaakapitu"/>
    <w:link w:val="Tekstpodstawowy"/>
    <w:rsid w:val="00370C20"/>
    <w:rPr>
      <w:rFonts w:ascii="Times New Roman" w:eastAsia="Times New Roman" w:hAnsi="Times New Roman" w:cs="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329</TotalTime>
  <Pages>5</Pages>
  <Words>1615</Words>
  <Characters>9694</Characters>
  <Application>Microsoft Office Word</Application>
  <DocSecurity>0</DocSecurity>
  <Lines>80</Lines>
  <Paragraphs>22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11287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dc:creator>
  <cp:lastModifiedBy>ARTEKTON 2</cp:lastModifiedBy>
  <cp:revision>10</cp:revision>
  <cp:lastPrinted>2018-11-23T07:30:00Z</cp:lastPrinted>
  <dcterms:created xsi:type="dcterms:W3CDTF">2018-11-12T13:38:00Z</dcterms:created>
  <dcterms:modified xsi:type="dcterms:W3CDTF">2018-11-27T10:58:00Z</dcterms:modified>
</cp:coreProperties>
</file>